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F0EE3" w:rsidRDefault="006F0EE3" w:rsidP="00DB6CFD">
      <w:pPr>
        <w:spacing w:line="360" w:lineRule="auto"/>
        <w:ind w:firstLineChars="200" w:firstLine="883"/>
        <w:jc w:val="center"/>
        <w:rPr>
          <w:rFonts w:ascii="宋体" w:hAnsi="宋体" w:cs="宋体" w:hint="eastAsia"/>
          <w:b/>
          <w:sz w:val="44"/>
          <w:szCs w:val="44"/>
        </w:rPr>
      </w:pPr>
      <w:r>
        <w:rPr>
          <w:rFonts w:ascii="宋体" w:hAnsi="宋体" w:cs="宋体" w:hint="eastAsia"/>
          <w:b/>
          <w:sz w:val="44"/>
          <w:szCs w:val="44"/>
        </w:rPr>
        <w:t>广西宾阳县泥鳅感染台湾棘带吸虫囊蚴的调查及大鼠动物模型的构建</w:t>
      </w:r>
    </w:p>
    <w:p w:rsidR="006F0EE3" w:rsidRDefault="006F0EE3">
      <w:pPr>
        <w:spacing w:line="360" w:lineRule="auto"/>
        <w:jc w:val="center"/>
        <w:rPr>
          <w:rFonts w:ascii="宋体" w:cs="宋体" w:hint="eastAsia"/>
          <w:kern w:val="0"/>
          <w:sz w:val="24"/>
        </w:rPr>
      </w:pPr>
      <w:r>
        <w:rPr>
          <w:rFonts w:ascii="宋体" w:hAnsi="宋体" w:cs="宋体" w:hint="eastAsia"/>
          <w:sz w:val="24"/>
        </w:rPr>
        <w:t>燕慧</w:t>
      </w:r>
      <w:r>
        <w:rPr>
          <w:rFonts w:ascii="宋体" w:hAnsi="宋体" w:cs="宋体" w:hint="eastAsia"/>
          <w:sz w:val="24"/>
          <w:vertAlign w:val="superscript"/>
        </w:rPr>
        <w:t>1</w:t>
      </w:r>
      <w:r>
        <w:rPr>
          <w:rFonts w:ascii="宋体" w:hAnsi="宋体" w:cs="宋体" w:hint="eastAsia"/>
          <w:sz w:val="24"/>
        </w:rPr>
        <w:t>，石焕焕</w:t>
      </w:r>
      <w:r>
        <w:rPr>
          <w:rFonts w:ascii="宋体" w:hAnsi="宋体" w:cs="宋体" w:hint="eastAsia"/>
          <w:sz w:val="24"/>
          <w:vertAlign w:val="superscript"/>
        </w:rPr>
        <w:t>1</w:t>
      </w:r>
      <w:r>
        <w:rPr>
          <w:rFonts w:ascii="宋体" w:hAnsi="宋体" w:cs="宋体" w:hint="eastAsia"/>
          <w:sz w:val="24"/>
        </w:rPr>
        <w:t>，王贝贝</w:t>
      </w:r>
      <w:r>
        <w:rPr>
          <w:rFonts w:ascii="宋体" w:hAnsi="宋体" w:cs="宋体" w:hint="eastAsia"/>
          <w:sz w:val="24"/>
          <w:vertAlign w:val="superscript"/>
        </w:rPr>
        <w:t>1</w:t>
      </w:r>
      <w:r>
        <w:rPr>
          <w:rFonts w:ascii="宋体" w:hAnsi="宋体" w:cs="宋体" w:hint="eastAsia"/>
          <w:sz w:val="24"/>
        </w:rPr>
        <w:t>，邹专</w:t>
      </w:r>
      <w:r>
        <w:rPr>
          <w:rFonts w:ascii="宋体" w:hAnsi="宋体" w:cs="宋体" w:hint="eastAsia"/>
          <w:sz w:val="24"/>
          <w:vertAlign w:val="superscript"/>
        </w:rPr>
        <w:t>2</w:t>
      </w:r>
      <w:r>
        <w:rPr>
          <w:rFonts w:ascii="宋体" w:hAnsi="宋体" w:cs="宋体" w:hint="eastAsia"/>
          <w:sz w:val="24"/>
        </w:rPr>
        <w:t>，</w:t>
      </w:r>
      <w:r>
        <w:rPr>
          <w:rFonts w:ascii="宋体" w:cs="宋体" w:hint="eastAsia"/>
          <w:kern w:val="0"/>
          <w:sz w:val="24"/>
        </w:rPr>
        <w:t>曾庆玫</w:t>
      </w:r>
      <w:r>
        <w:rPr>
          <w:rFonts w:ascii="宋体" w:cs="宋体" w:hint="eastAsia"/>
          <w:kern w:val="0"/>
          <w:sz w:val="24"/>
          <w:vertAlign w:val="superscript"/>
        </w:rPr>
        <w:t>2</w:t>
      </w:r>
      <w:r>
        <w:rPr>
          <w:rFonts w:ascii="宋体" w:hAnsi="宋体" w:cs="宋体" w:hint="eastAsia"/>
          <w:sz w:val="24"/>
        </w:rPr>
        <w:t>，何姗姗</w:t>
      </w:r>
      <w:r>
        <w:rPr>
          <w:rFonts w:ascii="宋体" w:hAnsi="宋体" w:cs="宋体" w:hint="eastAsia"/>
          <w:sz w:val="24"/>
          <w:vertAlign w:val="superscript"/>
        </w:rPr>
        <w:t>1*</w:t>
      </w:r>
    </w:p>
    <w:p w:rsidR="006F0EE3" w:rsidRDefault="006F0EE3">
      <w:pPr>
        <w:spacing w:line="360" w:lineRule="auto"/>
        <w:ind w:firstLineChars="200" w:firstLine="480"/>
        <w:jc w:val="center"/>
        <w:rPr>
          <w:rFonts w:ascii="宋体" w:hAnsi="宋体" w:cs="宋体" w:hint="eastAsia"/>
          <w:sz w:val="24"/>
        </w:rPr>
      </w:pPr>
      <w:r>
        <w:rPr>
          <w:rFonts w:ascii="宋体" w:hAnsi="宋体" w:cs="宋体" w:hint="eastAsia"/>
          <w:sz w:val="24"/>
        </w:rPr>
        <w:t>（广西医科大学寄生虫教研室  南宁530021 ）</w:t>
      </w:r>
    </w:p>
    <w:p w:rsidR="006F0EE3" w:rsidRDefault="006F0EE3">
      <w:pPr>
        <w:spacing w:line="360" w:lineRule="auto"/>
        <w:rPr>
          <w:rFonts w:ascii="宋体" w:hAnsi="宋体" w:cs="宋体" w:hint="eastAsia"/>
          <w:sz w:val="24"/>
        </w:rPr>
      </w:pPr>
      <w:r>
        <w:rPr>
          <w:rFonts w:ascii="宋体" w:hAnsi="宋体" w:cs="宋体" w:hint="eastAsia"/>
          <w:bCs/>
          <w:sz w:val="24"/>
        </w:rPr>
        <w:t>【</w:t>
      </w:r>
      <w:r>
        <w:rPr>
          <w:rFonts w:ascii="宋体" w:hAnsi="宋体" w:cs="宋体" w:hint="eastAsia"/>
          <w:b/>
          <w:sz w:val="24"/>
        </w:rPr>
        <w:t>摘要</w:t>
      </w:r>
      <w:r>
        <w:rPr>
          <w:rFonts w:ascii="宋体" w:hAnsi="宋体" w:cs="宋体" w:hint="eastAsia"/>
          <w:bCs/>
          <w:sz w:val="24"/>
        </w:rPr>
        <w:t>】</w:t>
      </w:r>
      <w:r>
        <w:rPr>
          <w:rFonts w:ascii="宋体" w:hAnsi="宋体" w:cs="宋体" w:hint="eastAsia"/>
          <w:sz w:val="24"/>
        </w:rPr>
        <w:t xml:space="preserve"> </w:t>
      </w:r>
      <w:r>
        <w:rPr>
          <w:rFonts w:ascii="宋体" w:hAnsi="宋体" w:cs="宋体" w:hint="eastAsia"/>
          <w:b/>
          <w:bCs/>
          <w:sz w:val="24"/>
        </w:rPr>
        <w:t xml:space="preserve"> 目的</w:t>
      </w:r>
      <w:r>
        <w:rPr>
          <w:rFonts w:ascii="宋体" w:hAnsi="宋体" w:cs="宋体" w:hint="eastAsia"/>
          <w:sz w:val="24"/>
        </w:rPr>
        <w:t xml:space="preserve"> 掌握广西宾阳县泥鳅感染台湾棘带吸虫囊蚴情况并构建台湾棘带吸虫感染大鼠动物模型。</w:t>
      </w:r>
      <w:r>
        <w:rPr>
          <w:rFonts w:ascii="宋体" w:hAnsi="宋体" w:cs="宋体" w:hint="eastAsia"/>
          <w:b/>
          <w:bCs/>
          <w:sz w:val="24"/>
        </w:rPr>
        <w:t>方法</w:t>
      </w:r>
      <w:r>
        <w:rPr>
          <w:rFonts w:ascii="宋体" w:hAnsi="宋体" w:cs="宋体" w:hint="eastAsia"/>
          <w:sz w:val="24"/>
        </w:rPr>
        <w:t xml:space="preserve"> 购买宾阳县大桥镇和王灵镇的野生泥鳅，分部位人工消化，查找并收集台湾棘带吸虫活囊蚴于生理盐水中保存备用；以梯度为</w:t>
      </w:r>
      <w:r>
        <w:rPr>
          <w:rFonts w:ascii="宋体" w:hAnsi="宋体" w:cs="宋体" w:hint="eastAsia"/>
          <w:color w:val="000000"/>
          <w:sz w:val="24"/>
        </w:rPr>
        <w:t>5、10、20、30、40、50、100、200个台湾棘带吸虫活囊蚴</w:t>
      </w:r>
      <w:r>
        <w:rPr>
          <w:rFonts w:ascii="宋体" w:hAnsi="宋体" w:cs="宋体" w:hint="eastAsia"/>
          <w:sz w:val="24"/>
        </w:rPr>
        <w:t>分别灌胃</w:t>
      </w:r>
      <w:r>
        <w:rPr>
          <w:rFonts w:ascii="宋体" w:hAnsi="宋体" w:cs="宋体" w:hint="eastAsia"/>
          <w:color w:val="000000"/>
          <w:sz w:val="24"/>
        </w:rPr>
        <w:t>SD大鼠。</w:t>
      </w:r>
      <w:r>
        <w:rPr>
          <w:rFonts w:ascii="宋体" w:hAnsi="宋体" w:cs="宋体" w:hint="eastAsia"/>
          <w:b/>
          <w:bCs/>
          <w:sz w:val="24"/>
        </w:rPr>
        <w:t xml:space="preserve"> 结果</w:t>
      </w:r>
      <w:r>
        <w:rPr>
          <w:rFonts w:ascii="宋体" w:hAnsi="宋体" w:cs="宋体" w:hint="eastAsia"/>
          <w:sz w:val="24"/>
        </w:rPr>
        <w:t xml:space="preserve">  大桥镇和王灵镇泥鳅感染台湾棘带吸虫囊蚴的总感染率为67.01%，其中大桥镇泥鳅感染台湾棘带吸虫囊蚴的感染率为73.21%，王灵镇为58.53%，两镇囊蚴感染率的</w:t>
      </w:r>
      <w:r>
        <w:rPr>
          <w:rFonts w:ascii="宋体" w:hAnsi="宋体" w:cs="宋体" w:hint="eastAsia"/>
          <w:color w:val="000000"/>
          <w:sz w:val="24"/>
        </w:rPr>
        <w:t>差异无统计学意义（</w:t>
      </w:r>
      <w:r>
        <w:rPr>
          <w:rFonts w:ascii="宋体" w:hAnsi="宋体" w:cs="宋体" w:hint="eastAsia"/>
          <w:i/>
          <w:color w:val="000000"/>
          <w:sz w:val="24"/>
        </w:rPr>
        <w:t>P</w:t>
      </w:r>
      <w:r>
        <w:rPr>
          <w:rFonts w:ascii="宋体" w:hAnsi="宋体" w:cs="宋体" w:hint="eastAsia"/>
          <w:color w:val="000000"/>
          <w:sz w:val="24"/>
        </w:rPr>
        <w:t>＞0.05）；</w:t>
      </w:r>
      <w:r>
        <w:rPr>
          <w:rFonts w:ascii="宋体" w:hAnsi="宋体" w:cs="宋体" w:hint="eastAsia"/>
          <w:sz w:val="24"/>
        </w:rPr>
        <w:t>大桥镇和王灵镇泥鳅感染台湾棘带吸虫囊蚴的感染度分别为1.77个/g、5.89个/g，总感染度为3.12个/g；泥鳅头腮部的囊蚴感染度为37.25个/g，身尾部的囊蚴感染度为0.21个/g；囊蚴灌胃SD大鼠感染</w:t>
      </w:r>
      <w:r>
        <w:rPr>
          <w:rFonts w:ascii="宋体" w:hAnsi="宋体" w:cs="宋体" w:hint="eastAsia"/>
          <w:color w:val="000000"/>
          <w:sz w:val="24"/>
        </w:rPr>
        <w:t>6d后粪检可查出虫卵，各梯度囊蚴感染SD大鼠的平均感染成活率分别为10.0%、20.0%、6.7%、10.0%、10.0%、17.0%、14.5%、9.5%，总平均感染成活率为11.8%，各分组间感染率差别无统计学意义（</w:t>
      </w:r>
      <w:r>
        <w:rPr>
          <w:rFonts w:ascii="宋体" w:hAnsi="宋体" w:cs="宋体" w:hint="eastAsia"/>
          <w:i/>
          <w:color w:val="000000"/>
          <w:sz w:val="24"/>
        </w:rPr>
        <w:t>P</w:t>
      </w:r>
      <w:r>
        <w:rPr>
          <w:rFonts w:ascii="宋体" w:hAnsi="宋体" w:cs="宋体" w:hint="eastAsia"/>
          <w:color w:val="000000"/>
          <w:sz w:val="24"/>
        </w:rPr>
        <w:t>＞0.05）；成虫在大鼠十二指肠、空肠、回肠的分布率分别为 96.5%、2.7%、0.8%，</w:t>
      </w:r>
      <w:r>
        <w:rPr>
          <w:rFonts w:ascii="宋体" w:hAnsi="宋体" w:cs="宋体" w:hint="eastAsia"/>
          <w:sz w:val="24"/>
        </w:rPr>
        <w:t>各分组间感染率差异均有统计学意义（</w:t>
      </w:r>
      <w:r>
        <w:rPr>
          <w:rFonts w:ascii="宋体" w:hAnsi="宋体" w:cs="宋体" w:hint="eastAsia"/>
          <w:i/>
          <w:iCs/>
          <w:sz w:val="24"/>
        </w:rPr>
        <w:t>P</w:t>
      </w:r>
      <w:r>
        <w:rPr>
          <w:rFonts w:ascii="宋体" w:hAnsi="宋体" w:cs="宋体" w:hint="eastAsia"/>
          <w:sz w:val="24"/>
        </w:rPr>
        <w:t>＜0.05）。</w:t>
      </w:r>
      <w:r>
        <w:rPr>
          <w:rFonts w:ascii="宋体" w:hAnsi="宋体" w:cs="宋体" w:hint="eastAsia"/>
          <w:b/>
          <w:bCs/>
          <w:color w:val="000000"/>
          <w:sz w:val="24"/>
        </w:rPr>
        <w:t xml:space="preserve">结论  </w:t>
      </w:r>
      <w:r>
        <w:rPr>
          <w:rFonts w:ascii="宋体" w:hAnsi="宋体" w:cs="宋体" w:hint="eastAsia"/>
          <w:sz w:val="24"/>
        </w:rPr>
        <w:t>广西南宁市宾阳县大桥镇和王灵镇均有泥鳅感染台湾棘带</w:t>
      </w:r>
      <w:r>
        <w:rPr>
          <w:rStyle w:val="3Char"/>
          <w:rFonts w:hint="eastAsia"/>
          <w:b w:val="0"/>
          <w:bCs/>
          <w:sz w:val="24"/>
        </w:rPr>
        <w:t>吸虫囊蚴，感染率高，感染度大，主要寄生于头腮部；用灌胃法能够成功建立台</w:t>
      </w:r>
      <w:r>
        <w:rPr>
          <w:rFonts w:ascii="宋体" w:hAnsi="宋体" w:cs="宋体" w:hint="eastAsia"/>
          <w:sz w:val="24"/>
        </w:rPr>
        <w:t>湾棘带吸虫感染大鼠动物模型；台湾棘带吸虫成虫主要寄生在SD大鼠的十二指肠部。</w:t>
      </w:r>
    </w:p>
    <w:p w:rsidR="006F0EE3" w:rsidRDefault="006F0EE3">
      <w:pPr>
        <w:spacing w:line="360" w:lineRule="auto"/>
        <w:rPr>
          <w:rFonts w:ascii="宋体" w:hAnsi="宋体" w:cs="宋体" w:hint="eastAsia"/>
          <w:sz w:val="24"/>
        </w:rPr>
      </w:pPr>
      <w:r>
        <w:rPr>
          <w:rFonts w:ascii="宋体" w:hAnsi="宋体" w:cs="宋体" w:hint="eastAsia"/>
          <w:sz w:val="24"/>
        </w:rPr>
        <w:t>【</w:t>
      </w:r>
      <w:r>
        <w:rPr>
          <w:rFonts w:ascii="宋体" w:hAnsi="宋体" w:cs="宋体" w:hint="eastAsia"/>
          <w:b/>
          <w:bCs/>
          <w:sz w:val="24"/>
        </w:rPr>
        <w:t>关键词</w:t>
      </w:r>
      <w:r>
        <w:rPr>
          <w:rFonts w:ascii="宋体" w:hAnsi="宋体" w:cs="宋体" w:hint="eastAsia"/>
          <w:sz w:val="24"/>
        </w:rPr>
        <w:t xml:space="preserve">】广西宾阳；台湾棘带吸虫；泥鳅；感染度；动物模型 </w:t>
      </w:r>
    </w:p>
    <w:p w:rsidR="006F0EE3" w:rsidRDefault="006F0EE3">
      <w:pPr>
        <w:spacing w:line="360" w:lineRule="auto"/>
        <w:ind w:right="403"/>
        <w:rPr>
          <w:rFonts w:ascii="宋体" w:hAnsi="宋体" w:cs="宋体" w:hint="eastAsia"/>
          <w:kern w:val="0"/>
          <w:sz w:val="24"/>
        </w:rPr>
      </w:pPr>
      <w:r>
        <w:rPr>
          <w:rFonts w:ascii="宋体" w:hAnsi="宋体" w:cs="宋体" w:hint="eastAsia"/>
          <w:kern w:val="0"/>
          <w:sz w:val="24"/>
        </w:rPr>
        <w:t>中图分类号：R382.319     文献标志码：A</w:t>
      </w:r>
    </w:p>
    <w:p w:rsidR="006F0EE3" w:rsidRDefault="006F0EE3" w:rsidP="00DB6CFD">
      <w:pPr>
        <w:spacing w:line="360" w:lineRule="auto"/>
        <w:ind w:firstLineChars="200" w:firstLine="482"/>
        <w:jc w:val="center"/>
        <w:rPr>
          <w:b/>
          <w:bCs/>
          <w:sz w:val="24"/>
        </w:rPr>
      </w:pPr>
    </w:p>
    <w:p w:rsidR="006F0EE3" w:rsidRDefault="006F0EE3">
      <w:pPr>
        <w:spacing w:line="360" w:lineRule="auto"/>
        <w:jc w:val="left"/>
        <w:rPr>
          <w:rFonts w:hint="eastAsia"/>
          <w:b/>
          <w:bCs/>
          <w:sz w:val="24"/>
          <w:u w:val="single"/>
        </w:rPr>
      </w:pPr>
      <w:r>
        <w:rPr>
          <w:rFonts w:hint="eastAsia"/>
          <w:b/>
          <w:bCs/>
          <w:sz w:val="24"/>
          <w:u w:val="single"/>
        </w:rPr>
        <w:t xml:space="preserve">              </w:t>
      </w:r>
    </w:p>
    <w:p w:rsidR="006F0EE3" w:rsidRDefault="006F0EE3">
      <w:pPr>
        <w:spacing w:line="360" w:lineRule="auto"/>
        <w:jc w:val="left"/>
        <w:rPr>
          <w:rFonts w:ascii="宋体" w:hAnsi="宋体" w:cs="宋体" w:hint="eastAsia"/>
          <w:sz w:val="24"/>
        </w:rPr>
      </w:pPr>
      <w:r>
        <w:rPr>
          <w:rFonts w:hint="eastAsia"/>
          <w:sz w:val="24"/>
        </w:rPr>
        <w:t>**</w:t>
      </w:r>
      <w:r>
        <w:rPr>
          <w:rFonts w:hint="eastAsia"/>
          <w:sz w:val="24"/>
        </w:rPr>
        <w:t>【通讯作者】</w:t>
      </w:r>
      <w:r>
        <w:rPr>
          <w:rFonts w:ascii="宋体" w:hAnsi="宋体" w:cs="宋体" w:hint="eastAsia"/>
          <w:sz w:val="24"/>
        </w:rPr>
        <w:t>何姗姗，E-mail：119210588@qq.com</w:t>
      </w:r>
    </w:p>
    <w:p w:rsidR="006F0EE3" w:rsidRDefault="006F0EE3">
      <w:pPr>
        <w:spacing w:line="360" w:lineRule="auto"/>
        <w:jc w:val="left"/>
        <w:rPr>
          <w:rFonts w:ascii="宋体" w:hAnsi="宋体" w:cs="宋体" w:hint="eastAsia"/>
          <w:sz w:val="24"/>
        </w:rPr>
      </w:pPr>
      <w:r>
        <w:rPr>
          <w:rFonts w:ascii="宋体" w:hAnsi="宋体" w:cs="宋体" w:hint="eastAsia"/>
          <w:sz w:val="24"/>
        </w:rPr>
        <w:t xml:space="preserve">  【作者简介】燕慧（1989-），女，山西人，硕士研究生，主要从事寄生虫的诊断与预防研究，E-mail：568037805@qq.com</w:t>
      </w:r>
    </w:p>
    <w:p w:rsidR="006F0EE3" w:rsidRDefault="006F0EE3">
      <w:pPr>
        <w:spacing w:line="360" w:lineRule="auto"/>
        <w:ind w:right="403"/>
        <w:rPr>
          <w:rFonts w:ascii="宋体" w:hAnsi="宋体" w:cs="宋体" w:hint="eastAsia"/>
          <w:kern w:val="0"/>
          <w:sz w:val="24"/>
        </w:rPr>
      </w:pPr>
    </w:p>
    <w:p w:rsidR="006F0EE3" w:rsidRDefault="006F0EE3">
      <w:pPr>
        <w:spacing w:line="360" w:lineRule="auto"/>
        <w:jc w:val="left"/>
        <w:rPr>
          <w:b/>
          <w:bCs/>
          <w:iCs/>
          <w:sz w:val="24"/>
        </w:rPr>
      </w:pPr>
      <w:r>
        <w:rPr>
          <w:rFonts w:hint="eastAsia"/>
          <w:b/>
          <w:bCs/>
          <w:sz w:val="24"/>
        </w:rPr>
        <w:lastRenderedPageBreak/>
        <w:t xml:space="preserve">A study </w:t>
      </w:r>
      <w:r>
        <w:rPr>
          <w:b/>
          <w:bCs/>
          <w:sz w:val="24"/>
        </w:rPr>
        <w:t>of infect</w:t>
      </w:r>
      <w:r>
        <w:rPr>
          <w:rFonts w:hint="eastAsia"/>
          <w:b/>
          <w:bCs/>
          <w:sz w:val="24"/>
        </w:rPr>
        <w:t>ion with</w:t>
      </w:r>
      <w:r>
        <w:rPr>
          <w:b/>
          <w:bCs/>
          <w:sz w:val="24"/>
        </w:rPr>
        <w:t xml:space="preserve"> </w:t>
      </w:r>
      <w:r>
        <w:rPr>
          <w:b/>
          <w:bCs/>
          <w:i/>
          <w:sz w:val="24"/>
        </w:rPr>
        <w:t>Centrocestus formosanus</w:t>
      </w:r>
      <w:r>
        <w:rPr>
          <w:rFonts w:hint="eastAsia"/>
          <w:b/>
          <w:bCs/>
          <w:i/>
          <w:sz w:val="24"/>
        </w:rPr>
        <w:t xml:space="preserve"> in</w:t>
      </w:r>
      <w:r>
        <w:rPr>
          <w:b/>
          <w:bCs/>
          <w:i/>
          <w:sz w:val="24"/>
        </w:rPr>
        <w:t xml:space="preserve"> </w:t>
      </w:r>
      <w:r>
        <w:rPr>
          <w:rFonts w:hint="eastAsia"/>
          <w:b/>
          <w:bCs/>
          <w:sz w:val="24"/>
        </w:rPr>
        <w:t xml:space="preserve">loach in </w:t>
      </w:r>
      <w:r>
        <w:rPr>
          <w:b/>
          <w:bCs/>
          <w:iCs/>
          <w:sz w:val="24"/>
        </w:rPr>
        <w:t>Binyang</w:t>
      </w:r>
      <w:r>
        <w:rPr>
          <w:rFonts w:hint="eastAsia"/>
          <w:b/>
          <w:bCs/>
          <w:iCs/>
          <w:sz w:val="24"/>
        </w:rPr>
        <w:t xml:space="preserve"> </w:t>
      </w:r>
      <w:r>
        <w:rPr>
          <w:b/>
          <w:bCs/>
          <w:iCs/>
          <w:sz w:val="24"/>
        </w:rPr>
        <w:t>of</w:t>
      </w:r>
      <w:r>
        <w:rPr>
          <w:rFonts w:hint="eastAsia"/>
          <w:b/>
          <w:bCs/>
          <w:iCs/>
          <w:sz w:val="24"/>
        </w:rPr>
        <w:t xml:space="preserve"> </w:t>
      </w:r>
      <w:r>
        <w:rPr>
          <w:b/>
          <w:bCs/>
          <w:iCs/>
          <w:sz w:val="24"/>
        </w:rPr>
        <w:t>GuangXi</w:t>
      </w:r>
      <w:r>
        <w:rPr>
          <w:rFonts w:hint="eastAsia"/>
          <w:b/>
          <w:bCs/>
          <w:iCs/>
          <w:sz w:val="24"/>
        </w:rPr>
        <w:t xml:space="preserve"> </w:t>
      </w:r>
      <w:r>
        <w:rPr>
          <w:b/>
          <w:bCs/>
          <w:iCs/>
          <w:sz w:val="24"/>
        </w:rPr>
        <w:t xml:space="preserve">and </w:t>
      </w:r>
      <w:r>
        <w:rPr>
          <w:rFonts w:hint="eastAsia"/>
          <w:b/>
          <w:bCs/>
          <w:iCs/>
          <w:sz w:val="24"/>
        </w:rPr>
        <w:t xml:space="preserve">creation of an animal </w:t>
      </w:r>
      <w:r>
        <w:rPr>
          <w:b/>
          <w:bCs/>
          <w:iCs/>
          <w:sz w:val="24"/>
        </w:rPr>
        <w:t xml:space="preserve">model of </w:t>
      </w:r>
      <w:r>
        <w:rPr>
          <w:b/>
          <w:bCs/>
          <w:i/>
          <w:sz w:val="24"/>
        </w:rPr>
        <w:t xml:space="preserve">Centrocestus formosanus </w:t>
      </w:r>
      <w:r>
        <w:rPr>
          <w:rFonts w:hint="eastAsia"/>
          <w:b/>
          <w:bCs/>
          <w:iCs/>
          <w:sz w:val="24"/>
        </w:rPr>
        <w:t>using</w:t>
      </w:r>
      <w:r>
        <w:rPr>
          <w:b/>
          <w:bCs/>
          <w:iCs/>
          <w:sz w:val="24"/>
        </w:rPr>
        <w:t xml:space="preserve"> SD rats</w:t>
      </w:r>
    </w:p>
    <w:p w:rsidR="006F0EE3" w:rsidRDefault="006F0EE3">
      <w:pPr>
        <w:spacing w:line="360" w:lineRule="auto"/>
        <w:ind w:firstLineChars="200" w:firstLine="480"/>
        <w:jc w:val="center"/>
        <w:rPr>
          <w:rFonts w:ascii="宋体" w:hAnsi="宋体" w:cs="宋体" w:hint="eastAsia"/>
          <w:sz w:val="24"/>
          <w:vertAlign w:val="superscript"/>
        </w:rPr>
      </w:pPr>
      <w:r>
        <w:rPr>
          <w:rFonts w:hint="eastAsia"/>
          <w:iCs/>
          <w:sz w:val="24"/>
        </w:rPr>
        <w:t>YAN Hui</w:t>
      </w:r>
      <w:r>
        <w:rPr>
          <w:rFonts w:hint="eastAsia"/>
          <w:iCs/>
          <w:sz w:val="24"/>
          <w:vertAlign w:val="superscript"/>
        </w:rPr>
        <w:t>1</w:t>
      </w:r>
      <w:r>
        <w:rPr>
          <w:rFonts w:hint="eastAsia"/>
          <w:iCs/>
          <w:sz w:val="24"/>
        </w:rPr>
        <w:t>，</w:t>
      </w:r>
      <w:r>
        <w:rPr>
          <w:rFonts w:hint="eastAsia"/>
          <w:iCs/>
          <w:sz w:val="24"/>
        </w:rPr>
        <w:t>SHI Huan-huan</w:t>
      </w:r>
      <w:r>
        <w:rPr>
          <w:rFonts w:hint="eastAsia"/>
          <w:iCs/>
          <w:sz w:val="24"/>
          <w:vertAlign w:val="superscript"/>
        </w:rPr>
        <w:t>1</w:t>
      </w:r>
      <w:r>
        <w:rPr>
          <w:rFonts w:hint="eastAsia"/>
          <w:iCs/>
          <w:sz w:val="24"/>
        </w:rPr>
        <w:t>，</w:t>
      </w:r>
      <w:r>
        <w:rPr>
          <w:rFonts w:hint="eastAsia"/>
          <w:iCs/>
          <w:sz w:val="24"/>
        </w:rPr>
        <w:t>WANG Bei-bei</w:t>
      </w:r>
      <w:r>
        <w:rPr>
          <w:rFonts w:hint="eastAsia"/>
          <w:iCs/>
          <w:sz w:val="24"/>
          <w:vertAlign w:val="superscript"/>
        </w:rPr>
        <w:t>1</w:t>
      </w:r>
      <w:r>
        <w:rPr>
          <w:rFonts w:hint="eastAsia"/>
          <w:iCs/>
          <w:sz w:val="24"/>
        </w:rPr>
        <w:t>，</w:t>
      </w:r>
      <w:r>
        <w:rPr>
          <w:rFonts w:hint="eastAsia"/>
          <w:iCs/>
          <w:sz w:val="24"/>
        </w:rPr>
        <w:t>HE Shan-shan</w:t>
      </w:r>
      <w:r>
        <w:rPr>
          <w:rFonts w:hint="eastAsia"/>
          <w:iCs/>
          <w:sz w:val="24"/>
          <w:vertAlign w:val="superscript"/>
        </w:rPr>
        <w:t>1</w:t>
      </w:r>
      <w:r>
        <w:rPr>
          <w:rFonts w:ascii="宋体" w:hAnsi="宋体" w:cs="宋体" w:hint="eastAsia"/>
          <w:sz w:val="24"/>
          <w:vertAlign w:val="superscript"/>
        </w:rPr>
        <w:t>*</w:t>
      </w:r>
      <w:r>
        <w:rPr>
          <w:rFonts w:hint="eastAsia"/>
          <w:iCs/>
          <w:sz w:val="24"/>
        </w:rPr>
        <w:t>，</w:t>
      </w:r>
      <w:r>
        <w:rPr>
          <w:rFonts w:hint="eastAsia"/>
          <w:iCs/>
          <w:sz w:val="24"/>
        </w:rPr>
        <w:t>ZHOU Zhuan</w:t>
      </w:r>
      <w:r>
        <w:rPr>
          <w:rFonts w:hint="eastAsia"/>
          <w:iCs/>
          <w:sz w:val="24"/>
          <w:vertAlign w:val="superscript"/>
        </w:rPr>
        <w:t>2</w:t>
      </w:r>
      <w:r>
        <w:rPr>
          <w:rFonts w:hint="eastAsia"/>
          <w:iCs/>
          <w:sz w:val="24"/>
        </w:rPr>
        <w:t>，</w:t>
      </w:r>
      <w:r>
        <w:rPr>
          <w:rFonts w:hint="eastAsia"/>
          <w:iCs/>
          <w:sz w:val="24"/>
        </w:rPr>
        <w:t>ZENG Qing-gong</w:t>
      </w:r>
      <w:r>
        <w:rPr>
          <w:rFonts w:hint="eastAsia"/>
          <w:iCs/>
          <w:sz w:val="24"/>
          <w:vertAlign w:val="superscript"/>
        </w:rPr>
        <w:t>2</w:t>
      </w:r>
    </w:p>
    <w:p w:rsidR="006F0EE3" w:rsidRDefault="006F0EE3">
      <w:pPr>
        <w:spacing w:line="360" w:lineRule="auto"/>
        <w:ind w:firstLineChars="200" w:firstLine="480"/>
        <w:rPr>
          <w:sz w:val="24"/>
        </w:rPr>
      </w:pPr>
      <w:r>
        <w:rPr>
          <w:sz w:val="24"/>
        </w:rPr>
        <w:t>(</w:t>
      </w:r>
      <w:r>
        <w:rPr>
          <w:rFonts w:hint="eastAsia"/>
          <w:sz w:val="24"/>
        </w:rPr>
        <w:t xml:space="preserve">1 </w:t>
      </w:r>
      <w:r>
        <w:rPr>
          <w:sz w:val="24"/>
        </w:rPr>
        <w:t>Department of Parasitology</w:t>
      </w:r>
      <w:r>
        <w:rPr>
          <w:sz w:val="24"/>
        </w:rPr>
        <w:t>，</w:t>
      </w:r>
      <w:r>
        <w:rPr>
          <w:sz w:val="24"/>
        </w:rPr>
        <w:t>Guangxi Medical University</w:t>
      </w:r>
      <w:r>
        <w:rPr>
          <w:rFonts w:hint="eastAsia"/>
          <w:sz w:val="24"/>
        </w:rPr>
        <w:t>；</w:t>
      </w:r>
      <w:r>
        <w:rPr>
          <w:rFonts w:hint="eastAsia"/>
          <w:sz w:val="24"/>
        </w:rPr>
        <w:t xml:space="preserve">2 </w:t>
      </w:r>
      <w:r>
        <w:rPr>
          <w:sz w:val="24"/>
        </w:rPr>
        <w:t>Guangxi Medical University</w:t>
      </w:r>
      <w:r>
        <w:rPr>
          <w:sz w:val="24"/>
        </w:rPr>
        <w:t>，</w:t>
      </w:r>
      <w:r>
        <w:rPr>
          <w:sz w:val="24"/>
        </w:rPr>
        <w:t>Nanning 530021</w:t>
      </w:r>
      <w:r>
        <w:rPr>
          <w:sz w:val="24"/>
        </w:rPr>
        <w:t>，</w:t>
      </w:r>
      <w:r>
        <w:rPr>
          <w:sz w:val="24"/>
        </w:rPr>
        <w:t>China)</w:t>
      </w:r>
    </w:p>
    <w:p w:rsidR="006F0EE3" w:rsidRDefault="006F0EE3" w:rsidP="00DB6CFD">
      <w:pPr>
        <w:spacing w:line="360" w:lineRule="auto"/>
        <w:ind w:firstLineChars="200" w:firstLine="482"/>
        <w:jc w:val="left"/>
        <w:rPr>
          <w:sz w:val="24"/>
        </w:rPr>
      </w:pPr>
      <w:r>
        <w:rPr>
          <w:b/>
          <w:bCs/>
          <w:sz w:val="24"/>
        </w:rPr>
        <w:t>[Abstract]</w:t>
      </w:r>
      <w:r>
        <w:rPr>
          <w:rFonts w:hint="eastAsia"/>
          <w:b/>
          <w:bCs/>
          <w:sz w:val="24"/>
        </w:rPr>
        <w:t xml:space="preserve">  </w:t>
      </w:r>
      <w:r>
        <w:rPr>
          <w:b/>
          <w:bCs/>
          <w:sz w:val="24"/>
        </w:rPr>
        <w:t>Objective</w:t>
      </w:r>
      <w:r>
        <w:rPr>
          <w:rFonts w:hint="eastAsia"/>
          <w:b/>
          <w:bCs/>
          <w:sz w:val="24"/>
        </w:rPr>
        <w:t xml:space="preserve">  </w:t>
      </w:r>
      <w:r>
        <w:rPr>
          <w:sz w:val="24"/>
        </w:rPr>
        <w:t>To survey the</w:t>
      </w:r>
      <w:r>
        <w:rPr>
          <w:rFonts w:hint="eastAsia"/>
          <w:sz w:val="24"/>
        </w:rPr>
        <w:t xml:space="preserve"> loach</w:t>
      </w:r>
      <w:r>
        <w:rPr>
          <w:sz w:val="24"/>
        </w:rPr>
        <w:t xml:space="preserve"> infected </w:t>
      </w:r>
      <w:r>
        <w:rPr>
          <w:i/>
          <w:sz w:val="24"/>
        </w:rPr>
        <w:t xml:space="preserve">Centrocestus formosanus </w:t>
      </w:r>
      <w:r>
        <w:rPr>
          <w:iCs/>
          <w:sz w:val="24"/>
        </w:rPr>
        <w:t xml:space="preserve">of GuangXi Binyang and establish the model of </w:t>
      </w:r>
      <w:r>
        <w:rPr>
          <w:i/>
          <w:sz w:val="24"/>
        </w:rPr>
        <w:t>C</w:t>
      </w:r>
      <w:r>
        <w:rPr>
          <w:rFonts w:hint="eastAsia"/>
          <w:i/>
          <w:sz w:val="24"/>
        </w:rPr>
        <w:t xml:space="preserve">. </w:t>
      </w:r>
      <w:r>
        <w:rPr>
          <w:i/>
          <w:sz w:val="24"/>
        </w:rPr>
        <w:t>formosanus</w:t>
      </w:r>
      <w:r>
        <w:rPr>
          <w:iCs/>
          <w:sz w:val="24"/>
        </w:rPr>
        <w:t xml:space="preserve">in </w:t>
      </w:r>
      <w:r>
        <w:rPr>
          <w:rFonts w:hint="eastAsia"/>
          <w:iCs/>
          <w:sz w:val="24"/>
        </w:rPr>
        <w:t xml:space="preserve">using </w:t>
      </w:r>
      <w:r>
        <w:rPr>
          <w:iCs/>
          <w:sz w:val="24"/>
        </w:rPr>
        <w:t>SD rats</w:t>
      </w:r>
      <w:r>
        <w:rPr>
          <w:rFonts w:hint="eastAsia"/>
          <w:iCs/>
          <w:sz w:val="24"/>
        </w:rPr>
        <w:t xml:space="preserve">.  </w:t>
      </w:r>
      <w:r>
        <w:rPr>
          <w:b/>
          <w:bCs/>
          <w:sz w:val="24"/>
        </w:rPr>
        <w:t>Methods</w:t>
      </w:r>
      <w:r>
        <w:rPr>
          <w:rFonts w:hint="eastAsia"/>
          <w:b/>
          <w:bCs/>
          <w:sz w:val="24"/>
        </w:rPr>
        <w:t xml:space="preserve">  </w:t>
      </w:r>
      <w:r>
        <w:rPr>
          <w:rFonts w:hint="eastAsia"/>
          <w:sz w:val="24"/>
        </w:rPr>
        <w:t xml:space="preserve">Wild loach were purchased form </w:t>
      </w:r>
      <w:r>
        <w:rPr>
          <w:sz w:val="24"/>
        </w:rPr>
        <w:t>Big Bridge Town</w:t>
      </w:r>
      <w:r>
        <w:rPr>
          <w:rFonts w:hint="eastAsia"/>
          <w:sz w:val="24"/>
        </w:rPr>
        <w:t xml:space="preserve"> and </w:t>
      </w:r>
      <w:r>
        <w:rPr>
          <w:sz w:val="24"/>
        </w:rPr>
        <w:t>Wang Ling Town</w:t>
      </w:r>
      <w:r>
        <w:rPr>
          <w:rFonts w:hint="eastAsia"/>
          <w:sz w:val="24"/>
        </w:rPr>
        <w:t xml:space="preserve"> of Binyang and digested by different parts.To find and collect activity </w:t>
      </w:r>
      <w:r>
        <w:rPr>
          <w:color w:val="222222"/>
          <w:sz w:val="24"/>
        </w:rPr>
        <w:t>metacerc</w:t>
      </w:r>
      <w:r>
        <w:rPr>
          <w:rFonts w:hint="eastAsia"/>
          <w:color w:val="222222"/>
          <w:sz w:val="24"/>
        </w:rPr>
        <w:t xml:space="preserve">-    </w:t>
      </w:r>
      <w:r>
        <w:rPr>
          <w:color w:val="222222"/>
          <w:sz w:val="24"/>
        </w:rPr>
        <w:t>ariae for saving in saline</w:t>
      </w:r>
      <w:r>
        <w:rPr>
          <w:rFonts w:hint="eastAsia"/>
          <w:color w:val="222222"/>
          <w:sz w:val="24"/>
        </w:rPr>
        <w:t>；</w:t>
      </w:r>
      <w:r>
        <w:rPr>
          <w:rFonts w:hint="eastAsia"/>
          <w:color w:val="222222"/>
          <w:sz w:val="24"/>
        </w:rPr>
        <w:t xml:space="preserve">SD rats were used to orally infect </w:t>
      </w:r>
      <w:r>
        <w:rPr>
          <w:rFonts w:hint="eastAsia"/>
          <w:sz w:val="24"/>
        </w:rPr>
        <w:t xml:space="preserve">activity </w:t>
      </w:r>
      <w:r>
        <w:rPr>
          <w:color w:val="222222"/>
          <w:sz w:val="24"/>
        </w:rPr>
        <w:t>metacercariae</w:t>
      </w:r>
      <w:r>
        <w:rPr>
          <w:rFonts w:hint="eastAsia"/>
          <w:color w:val="222222"/>
          <w:sz w:val="24"/>
        </w:rPr>
        <w:t xml:space="preserve"> of </w:t>
      </w:r>
      <w:r>
        <w:rPr>
          <w:rFonts w:hint="eastAsia"/>
          <w:i/>
          <w:iCs/>
          <w:color w:val="222222"/>
          <w:sz w:val="24"/>
        </w:rPr>
        <w:t>C.f</w:t>
      </w:r>
      <w:r>
        <w:rPr>
          <w:i/>
          <w:iCs/>
          <w:sz w:val="24"/>
        </w:rPr>
        <w:t>ormosanus</w:t>
      </w:r>
      <w:r>
        <w:rPr>
          <w:rFonts w:hint="eastAsia"/>
          <w:i/>
          <w:sz w:val="24"/>
        </w:rPr>
        <w:t xml:space="preserve"> </w:t>
      </w:r>
      <w:r>
        <w:rPr>
          <w:rFonts w:hint="eastAsia"/>
          <w:iCs/>
          <w:sz w:val="24"/>
        </w:rPr>
        <w:t>with</w:t>
      </w:r>
      <w:r>
        <w:rPr>
          <w:rFonts w:hint="eastAsia"/>
          <w:i/>
          <w:sz w:val="24"/>
        </w:rPr>
        <w:t xml:space="preserve"> </w:t>
      </w:r>
      <w:r>
        <w:rPr>
          <w:color w:val="222222"/>
          <w:sz w:val="24"/>
        </w:rPr>
        <w:t>gradient</w:t>
      </w:r>
      <w:r>
        <w:rPr>
          <w:rFonts w:hint="eastAsia"/>
          <w:color w:val="222222"/>
          <w:sz w:val="24"/>
        </w:rPr>
        <w:t xml:space="preserve"> number </w:t>
      </w:r>
      <w:r>
        <w:rPr>
          <w:color w:val="222222"/>
          <w:sz w:val="24"/>
        </w:rPr>
        <w:t>5</w:t>
      </w:r>
      <w:r>
        <w:rPr>
          <w:rFonts w:hint="eastAsia"/>
          <w:color w:val="222222"/>
          <w:sz w:val="24"/>
        </w:rPr>
        <w:t>，</w:t>
      </w:r>
      <w:r>
        <w:rPr>
          <w:color w:val="222222"/>
          <w:sz w:val="24"/>
        </w:rPr>
        <w:t>10</w:t>
      </w:r>
      <w:r>
        <w:rPr>
          <w:rFonts w:hint="eastAsia"/>
          <w:color w:val="222222"/>
          <w:sz w:val="24"/>
        </w:rPr>
        <w:t>，</w:t>
      </w:r>
      <w:r>
        <w:rPr>
          <w:color w:val="222222"/>
          <w:sz w:val="24"/>
        </w:rPr>
        <w:t>20</w:t>
      </w:r>
      <w:r>
        <w:rPr>
          <w:rFonts w:hint="eastAsia"/>
          <w:color w:val="222222"/>
          <w:sz w:val="24"/>
        </w:rPr>
        <w:t>，</w:t>
      </w:r>
      <w:r>
        <w:rPr>
          <w:color w:val="222222"/>
          <w:sz w:val="24"/>
        </w:rPr>
        <w:t>30</w:t>
      </w:r>
      <w:r>
        <w:rPr>
          <w:rFonts w:hint="eastAsia"/>
          <w:color w:val="222222"/>
          <w:sz w:val="24"/>
        </w:rPr>
        <w:t>，</w:t>
      </w:r>
      <w:r>
        <w:rPr>
          <w:color w:val="222222"/>
          <w:sz w:val="24"/>
        </w:rPr>
        <w:t>40</w:t>
      </w:r>
      <w:r>
        <w:rPr>
          <w:rFonts w:hint="eastAsia"/>
          <w:color w:val="222222"/>
          <w:sz w:val="24"/>
        </w:rPr>
        <w:t>，</w:t>
      </w:r>
      <w:r>
        <w:rPr>
          <w:color w:val="222222"/>
          <w:sz w:val="24"/>
        </w:rPr>
        <w:t>50</w:t>
      </w:r>
      <w:r>
        <w:rPr>
          <w:rFonts w:hint="eastAsia"/>
          <w:color w:val="222222"/>
          <w:sz w:val="24"/>
        </w:rPr>
        <w:t>，</w:t>
      </w:r>
      <w:r>
        <w:rPr>
          <w:color w:val="222222"/>
          <w:sz w:val="24"/>
        </w:rPr>
        <w:t>100</w:t>
      </w:r>
      <w:r>
        <w:rPr>
          <w:rFonts w:hint="eastAsia"/>
          <w:color w:val="222222"/>
          <w:sz w:val="24"/>
        </w:rPr>
        <w:t>，</w:t>
      </w:r>
      <w:r>
        <w:rPr>
          <w:color w:val="222222"/>
          <w:sz w:val="24"/>
        </w:rPr>
        <w:t>200</w:t>
      </w:r>
      <w:r>
        <w:rPr>
          <w:rFonts w:hint="eastAsia"/>
          <w:color w:val="222222"/>
          <w:sz w:val="24"/>
        </w:rPr>
        <w:t>.</w:t>
      </w:r>
      <w:r>
        <w:rPr>
          <w:i/>
          <w:sz w:val="24"/>
        </w:rPr>
        <w:t xml:space="preserve"> </w:t>
      </w:r>
      <w:r>
        <w:rPr>
          <w:rFonts w:hint="eastAsia"/>
          <w:i/>
          <w:sz w:val="24"/>
        </w:rPr>
        <w:t xml:space="preserve">  </w:t>
      </w:r>
      <w:r>
        <w:rPr>
          <w:b/>
          <w:bCs/>
          <w:sz w:val="24"/>
        </w:rPr>
        <w:t>Results</w:t>
      </w:r>
      <w:r>
        <w:rPr>
          <w:rFonts w:hint="eastAsia"/>
          <w:b/>
          <w:bCs/>
          <w:sz w:val="24"/>
        </w:rPr>
        <w:t xml:space="preserve">  </w:t>
      </w:r>
      <w:r>
        <w:rPr>
          <w:rFonts w:hint="eastAsia"/>
          <w:color w:val="222222"/>
          <w:sz w:val="24"/>
        </w:rPr>
        <w:t>O</w:t>
      </w:r>
      <w:r>
        <w:rPr>
          <w:color w:val="222222"/>
          <w:sz w:val="24"/>
        </w:rPr>
        <w:t>verall infection rate</w:t>
      </w:r>
      <w:r>
        <w:rPr>
          <w:rFonts w:hint="eastAsia"/>
          <w:color w:val="222222"/>
          <w:sz w:val="24"/>
        </w:rPr>
        <w:t xml:space="preserve"> of loach</w:t>
      </w:r>
      <w:r>
        <w:rPr>
          <w:sz w:val="24"/>
        </w:rPr>
        <w:t xml:space="preserve"> infected </w:t>
      </w:r>
      <w:r>
        <w:rPr>
          <w:rFonts w:hint="eastAsia"/>
          <w:sz w:val="24"/>
        </w:rPr>
        <w:t xml:space="preserve">activity </w:t>
      </w:r>
      <w:r>
        <w:rPr>
          <w:color w:val="222222"/>
          <w:sz w:val="24"/>
        </w:rPr>
        <w:t>metacercariae</w:t>
      </w:r>
      <w:r>
        <w:rPr>
          <w:rFonts w:hint="eastAsia"/>
          <w:color w:val="222222"/>
          <w:sz w:val="24"/>
        </w:rPr>
        <w:t xml:space="preserve"> of </w:t>
      </w:r>
      <w:r>
        <w:rPr>
          <w:i/>
          <w:sz w:val="24"/>
        </w:rPr>
        <w:t>C</w:t>
      </w:r>
      <w:r>
        <w:rPr>
          <w:rFonts w:hint="eastAsia"/>
          <w:i/>
          <w:sz w:val="24"/>
        </w:rPr>
        <w:t>.</w:t>
      </w:r>
      <w:r>
        <w:rPr>
          <w:i/>
          <w:sz w:val="24"/>
        </w:rPr>
        <w:t>formosanus</w:t>
      </w:r>
      <w:r>
        <w:rPr>
          <w:rFonts w:hint="eastAsia"/>
          <w:i/>
          <w:sz w:val="24"/>
        </w:rPr>
        <w:t xml:space="preserve"> </w:t>
      </w:r>
      <w:r>
        <w:rPr>
          <w:color w:val="222222"/>
          <w:sz w:val="24"/>
        </w:rPr>
        <w:t>was</w:t>
      </w:r>
      <w:r>
        <w:rPr>
          <w:rFonts w:hint="eastAsia"/>
          <w:color w:val="222222"/>
          <w:sz w:val="24"/>
        </w:rPr>
        <w:t xml:space="preserve"> </w:t>
      </w:r>
      <w:r>
        <w:rPr>
          <w:color w:val="222222"/>
          <w:sz w:val="24"/>
        </w:rPr>
        <w:t>67.01%</w:t>
      </w:r>
      <w:r>
        <w:rPr>
          <w:rFonts w:hint="eastAsia"/>
          <w:color w:val="222222"/>
          <w:sz w:val="24"/>
        </w:rPr>
        <w:t xml:space="preserve"> both B</w:t>
      </w:r>
      <w:r>
        <w:rPr>
          <w:sz w:val="24"/>
        </w:rPr>
        <w:t>ig Bridge Town</w:t>
      </w:r>
      <w:r>
        <w:rPr>
          <w:rFonts w:hint="eastAsia"/>
          <w:sz w:val="24"/>
        </w:rPr>
        <w:t xml:space="preserve"> and </w:t>
      </w:r>
      <w:r>
        <w:rPr>
          <w:sz w:val="24"/>
        </w:rPr>
        <w:t>Wang Ling Town</w:t>
      </w:r>
      <w:r>
        <w:rPr>
          <w:rFonts w:hint="eastAsia"/>
          <w:sz w:val="24"/>
        </w:rPr>
        <w:t>，</w:t>
      </w:r>
      <w:r>
        <w:rPr>
          <w:rFonts w:hint="eastAsia"/>
          <w:color w:val="222222"/>
          <w:sz w:val="24"/>
        </w:rPr>
        <w:t>r</w:t>
      </w:r>
      <w:r>
        <w:rPr>
          <w:color w:val="222222"/>
          <w:sz w:val="24"/>
        </w:rPr>
        <w:t>espectively</w:t>
      </w:r>
      <w:r>
        <w:rPr>
          <w:rFonts w:hint="eastAsia"/>
          <w:color w:val="222222"/>
          <w:sz w:val="24"/>
        </w:rPr>
        <w:t>，</w:t>
      </w:r>
      <w:r>
        <w:rPr>
          <w:color w:val="222222"/>
          <w:sz w:val="24"/>
        </w:rPr>
        <w:t xml:space="preserve"> </w:t>
      </w:r>
      <w:r>
        <w:rPr>
          <w:rFonts w:hint="eastAsia"/>
          <w:color w:val="222222"/>
          <w:sz w:val="24"/>
        </w:rPr>
        <w:t xml:space="preserve">the </w:t>
      </w:r>
      <w:r>
        <w:rPr>
          <w:color w:val="222222"/>
          <w:sz w:val="24"/>
        </w:rPr>
        <w:t>infection rate</w:t>
      </w:r>
      <w:r>
        <w:rPr>
          <w:rFonts w:hint="eastAsia"/>
          <w:color w:val="222222"/>
          <w:sz w:val="24"/>
        </w:rPr>
        <w:t xml:space="preserve"> </w:t>
      </w:r>
      <w:r>
        <w:rPr>
          <w:rFonts w:hint="eastAsia"/>
          <w:sz w:val="24"/>
        </w:rPr>
        <w:t xml:space="preserve">of </w:t>
      </w:r>
      <w:r>
        <w:rPr>
          <w:color w:val="222222"/>
          <w:sz w:val="24"/>
        </w:rPr>
        <w:t xml:space="preserve">Big </w:t>
      </w:r>
      <w:r>
        <w:rPr>
          <w:sz w:val="24"/>
        </w:rPr>
        <w:t>Bridge</w:t>
      </w:r>
      <w:r>
        <w:rPr>
          <w:rFonts w:hint="eastAsia"/>
          <w:sz w:val="24"/>
        </w:rPr>
        <w:t xml:space="preserve"> </w:t>
      </w:r>
      <w:r>
        <w:rPr>
          <w:color w:val="222222"/>
          <w:sz w:val="24"/>
        </w:rPr>
        <w:t>Town</w:t>
      </w:r>
      <w:r>
        <w:rPr>
          <w:rFonts w:hint="eastAsia"/>
          <w:color w:val="222222"/>
          <w:sz w:val="24"/>
        </w:rPr>
        <w:t xml:space="preserve"> was </w:t>
      </w:r>
      <w:r>
        <w:rPr>
          <w:color w:val="222222"/>
          <w:sz w:val="24"/>
        </w:rPr>
        <w:t>73.21%</w:t>
      </w:r>
      <w:r>
        <w:rPr>
          <w:rFonts w:hint="eastAsia"/>
          <w:color w:val="222222"/>
          <w:sz w:val="24"/>
        </w:rPr>
        <w:t xml:space="preserve"> and </w:t>
      </w:r>
      <w:r>
        <w:rPr>
          <w:color w:val="222222"/>
          <w:sz w:val="24"/>
        </w:rPr>
        <w:t>Wang</w:t>
      </w:r>
      <w:r>
        <w:rPr>
          <w:rFonts w:hint="eastAsia"/>
          <w:color w:val="222222"/>
          <w:sz w:val="24"/>
        </w:rPr>
        <w:t xml:space="preserve"> </w:t>
      </w:r>
      <w:r>
        <w:rPr>
          <w:color w:val="222222"/>
          <w:sz w:val="24"/>
        </w:rPr>
        <w:t>Ling</w:t>
      </w:r>
      <w:r>
        <w:rPr>
          <w:rFonts w:hint="eastAsia"/>
          <w:color w:val="222222"/>
          <w:sz w:val="24"/>
        </w:rPr>
        <w:t xml:space="preserve"> </w:t>
      </w:r>
      <w:r>
        <w:rPr>
          <w:color w:val="222222"/>
          <w:sz w:val="24"/>
        </w:rPr>
        <w:t>town</w:t>
      </w:r>
      <w:r>
        <w:rPr>
          <w:rFonts w:hint="eastAsia"/>
          <w:color w:val="222222"/>
          <w:sz w:val="24"/>
        </w:rPr>
        <w:t xml:space="preserve"> </w:t>
      </w:r>
      <w:r>
        <w:rPr>
          <w:color w:val="222222"/>
          <w:sz w:val="24"/>
        </w:rPr>
        <w:t>was</w:t>
      </w:r>
      <w:r>
        <w:rPr>
          <w:rFonts w:hint="eastAsia"/>
          <w:color w:val="222222"/>
          <w:sz w:val="24"/>
        </w:rPr>
        <w:t xml:space="preserve"> </w:t>
      </w:r>
      <w:r>
        <w:rPr>
          <w:color w:val="222222"/>
          <w:sz w:val="24"/>
        </w:rPr>
        <w:t>58.53%</w:t>
      </w:r>
      <w:r>
        <w:rPr>
          <w:rFonts w:hint="eastAsia"/>
          <w:color w:val="222222"/>
          <w:sz w:val="24"/>
        </w:rPr>
        <w:t>，</w:t>
      </w:r>
      <w:r>
        <w:rPr>
          <w:rFonts w:hint="eastAsia"/>
          <w:color w:val="222222"/>
          <w:sz w:val="24"/>
        </w:rPr>
        <w:t>there were</w:t>
      </w:r>
      <w:r>
        <w:rPr>
          <w:color w:val="222222"/>
          <w:sz w:val="24"/>
        </w:rPr>
        <w:t xml:space="preserve"> not</w:t>
      </w:r>
      <w:r>
        <w:rPr>
          <w:rFonts w:hint="eastAsia"/>
          <w:color w:val="222222"/>
          <w:sz w:val="24"/>
        </w:rPr>
        <w:t xml:space="preserve"> </w:t>
      </w:r>
      <w:r>
        <w:rPr>
          <w:color w:val="222222"/>
          <w:sz w:val="24"/>
        </w:rPr>
        <w:t>statistically significant</w:t>
      </w:r>
      <w:r>
        <w:rPr>
          <w:rFonts w:hint="eastAsia"/>
          <w:color w:val="222222"/>
          <w:sz w:val="24"/>
        </w:rPr>
        <w:t xml:space="preserve"> differences in B</w:t>
      </w:r>
      <w:r>
        <w:rPr>
          <w:sz w:val="24"/>
        </w:rPr>
        <w:t>ig Bridge Town</w:t>
      </w:r>
      <w:r>
        <w:rPr>
          <w:rFonts w:hint="eastAsia"/>
          <w:sz w:val="24"/>
        </w:rPr>
        <w:t xml:space="preserve"> and </w:t>
      </w:r>
      <w:r>
        <w:rPr>
          <w:sz w:val="24"/>
        </w:rPr>
        <w:t>Wang Ling Town</w:t>
      </w:r>
      <w:r>
        <w:rPr>
          <w:color w:val="222222"/>
          <w:sz w:val="24"/>
        </w:rPr>
        <w:t>(</w:t>
      </w:r>
      <w:r>
        <w:rPr>
          <w:i/>
          <w:iCs/>
          <w:color w:val="222222"/>
          <w:sz w:val="24"/>
        </w:rPr>
        <w:t>P</w:t>
      </w:r>
      <w:r>
        <w:rPr>
          <w:color w:val="222222"/>
          <w:sz w:val="24"/>
        </w:rPr>
        <w:t>&gt; 0.05)</w:t>
      </w:r>
      <w:r>
        <w:rPr>
          <w:rFonts w:hint="eastAsia"/>
          <w:color w:val="222222"/>
          <w:sz w:val="24"/>
        </w:rPr>
        <w:t>；</w:t>
      </w:r>
      <w:r>
        <w:rPr>
          <w:rFonts w:hint="eastAsia"/>
          <w:color w:val="222222"/>
          <w:sz w:val="24"/>
        </w:rPr>
        <w:t xml:space="preserve">the total </w:t>
      </w:r>
      <w:r>
        <w:rPr>
          <w:color w:val="222222"/>
          <w:sz w:val="24"/>
        </w:rPr>
        <w:t>intensity of infection</w:t>
      </w:r>
      <w:r>
        <w:rPr>
          <w:rFonts w:hint="eastAsia"/>
          <w:color w:val="222222"/>
          <w:sz w:val="24"/>
        </w:rPr>
        <w:t xml:space="preserve"> was 3.12/g</w:t>
      </w:r>
      <w:r>
        <w:rPr>
          <w:rFonts w:hint="eastAsia"/>
          <w:color w:val="222222"/>
          <w:sz w:val="24"/>
        </w:rPr>
        <w:t>，</w:t>
      </w:r>
      <w:r>
        <w:rPr>
          <w:rFonts w:hint="eastAsia"/>
          <w:color w:val="222222"/>
          <w:sz w:val="24"/>
        </w:rPr>
        <w:t>r</w:t>
      </w:r>
      <w:r>
        <w:rPr>
          <w:color w:val="222222"/>
          <w:sz w:val="24"/>
        </w:rPr>
        <w:t>espectively</w:t>
      </w:r>
      <w:r>
        <w:rPr>
          <w:rFonts w:hint="eastAsia"/>
          <w:color w:val="222222"/>
          <w:sz w:val="24"/>
        </w:rPr>
        <w:t>，</w:t>
      </w:r>
      <w:r>
        <w:rPr>
          <w:color w:val="222222"/>
          <w:sz w:val="24"/>
        </w:rPr>
        <w:t xml:space="preserve"> </w:t>
      </w:r>
      <w:r>
        <w:rPr>
          <w:rFonts w:hint="eastAsia"/>
          <w:color w:val="222222"/>
          <w:sz w:val="24"/>
        </w:rPr>
        <w:t xml:space="preserve">the </w:t>
      </w:r>
      <w:r>
        <w:rPr>
          <w:color w:val="222222"/>
          <w:sz w:val="24"/>
        </w:rPr>
        <w:t>intensity of infection</w:t>
      </w:r>
      <w:r>
        <w:rPr>
          <w:rFonts w:hint="eastAsia"/>
          <w:color w:val="222222"/>
          <w:sz w:val="24"/>
        </w:rPr>
        <w:t xml:space="preserve"> </w:t>
      </w:r>
      <w:r>
        <w:rPr>
          <w:rFonts w:hint="eastAsia"/>
          <w:sz w:val="24"/>
        </w:rPr>
        <w:t xml:space="preserve">of </w:t>
      </w:r>
      <w:r>
        <w:rPr>
          <w:color w:val="222222"/>
          <w:sz w:val="24"/>
        </w:rPr>
        <w:t>Big Town</w:t>
      </w:r>
      <w:r>
        <w:rPr>
          <w:rFonts w:hint="eastAsia"/>
          <w:color w:val="222222"/>
          <w:sz w:val="24"/>
        </w:rPr>
        <w:t xml:space="preserve"> was1.77/g and5.89/g of </w:t>
      </w:r>
      <w:r>
        <w:rPr>
          <w:sz w:val="24"/>
        </w:rPr>
        <w:t>Wang Ling Town</w:t>
      </w:r>
      <w:r>
        <w:rPr>
          <w:rFonts w:hint="eastAsia"/>
          <w:color w:val="222222"/>
          <w:sz w:val="24"/>
        </w:rPr>
        <w:t>；</w:t>
      </w:r>
      <w:r>
        <w:rPr>
          <w:rFonts w:hint="eastAsia"/>
          <w:color w:val="222222"/>
          <w:sz w:val="24"/>
        </w:rPr>
        <w:t xml:space="preserve">the </w:t>
      </w:r>
      <w:r>
        <w:rPr>
          <w:color w:val="222222"/>
          <w:sz w:val="24"/>
        </w:rPr>
        <w:t>intensity of infection</w:t>
      </w:r>
      <w:r>
        <w:rPr>
          <w:rFonts w:hint="eastAsia"/>
          <w:color w:val="222222"/>
          <w:sz w:val="24"/>
        </w:rPr>
        <w:t xml:space="preserve"> of the heads and gillls of loach was 37.25/g and the last parts was 0.21/g</w:t>
      </w:r>
      <w:r>
        <w:rPr>
          <w:rFonts w:hint="eastAsia"/>
          <w:color w:val="222222"/>
          <w:sz w:val="24"/>
        </w:rPr>
        <w:t>；</w:t>
      </w:r>
      <w:r>
        <w:rPr>
          <w:rFonts w:hint="eastAsia"/>
          <w:color w:val="222222"/>
          <w:sz w:val="24"/>
        </w:rPr>
        <w:t xml:space="preserve">the eggs were detceted after 6 days in stool of SD rats which were gavaged </w:t>
      </w:r>
      <w:r>
        <w:rPr>
          <w:rFonts w:hint="eastAsia"/>
          <w:iCs/>
          <w:sz w:val="24"/>
        </w:rPr>
        <w:t>，</w:t>
      </w:r>
      <w:r>
        <w:rPr>
          <w:rFonts w:hint="eastAsia"/>
          <w:iCs/>
          <w:sz w:val="24"/>
        </w:rPr>
        <w:t>the</w:t>
      </w:r>
      <w:r>
        <w:rPr>
          <w:iCs/>
          <w:sz w:val="24"/>
        </w:rPr>
        <w:t xml:space="preserve"> </w:t>
      </w:r>
      <w:r>
        <w:rPr>
          <w:color w:val="222222"/>
          <w:sz w:val="24"/>
        </w:rPr>
        <w:t>average</w:t>
      </w:r>
      <w:r>
        <w:rPr>
          <w:rFonts w:hint="eastAsia"/>
          <w:color w:val="222222"/>
          <w:sz w:val="24"/>
        </w:rPr>
        <w:t xml:space="preserve"> </w:t>
      </w:r>
      <w:r>
        <w:rPr>
          <w:color w:val="222222"/>
          <w:sz w:val="24"/>
        </w:rPr>
        <w:t xml:space="preserve">survival rate </w:t>
      </w:r>
      <w:r>
        <w:rPr>
          <w:rFonts w:hint="eastAsia"/>
          <w:color w:val="222222"/>
          <w:sz w:val="24"/>
        </w:rPr>
        <w:t xml:space="preserve">of SD rats were gavaged </w:t>
      </w:r>
      <w:r>
        <w:rPr>
          <w:rFonts w:hint="eastAsia"/>
          <w:sz w:val="24"/>
        </w:rPr>
        <w:t xml:space="preserve">activity </w:t>
      </w:r>
      <w:r>
        <w:rPr>
          <w:color w:val="222222"/>
          <w:sz w:val="24"/>
        </w:rPr>
        <w:t>metacercariae</w:t>
      </w:r>
      <w:r>
        <w:rPr>
          <w:rFonts w:hint="eastAsia"/>
          <w:color w:val="222222"/>
          <w:sz w:val="24"/>
        </w:rPr>
        <w:t xml:space="preserve"> </w:t>
      </w:r>
      <w:r>
        <w:rPr>
          <w:rFonts w:hint="eastAsia"/>
          <w:iCs/>
          <w:sz w:val="24"/>
        </w:rPr>
        <w:t>with</w:t>
      </w:r>
      <w:r>
        <w:rPr>
          <w:rFonts w:hint="eastAsia"/>
          <w:i/>
          <w:sz w:val="24"/>
        </w:rPr>
        <w:t xml:space="preserve"> </w:t>
      </w:r>
      <w:r>
        <w:rPr>
          <w:color w:val="222222"/>
          <w:sz w:val="24"/>
        </w:rPr>
        <w:t>gradient</w:t>
      </w:r>
      <w:r>
        <w:rPr>
          <w:rFonts w:hint="eastAsia"/>
          <w:color w:val="222222"/>
          <w:sz w:val="24"/>
        </w:rPr>
        <w:t xml:space="preserve"> number was </w:t>
      </w:r>
      <w:r>
        <w:rPr>
          <w:color w:val="222222"/>
          <w:sz w:val="24"/>
        </w:rPr>
        <w:t>10.0%</w:t>
      </w:r>
      <w:r>
        <w:rPr>
          <w:rFonts w:hint="eastAsia"/>
          <w:color w:val="222222"/>
          <w:sz w:val="24"/>
        </w:rPr>
        <w:t>，</w:t>
      </w:r>
      <w:r>
        <w:rPr>
          <w:color w:val="222222"/>
          <w:sz w:val="24"/>
        </w:rPr>
        <w:t>20.0%</w:t>
      </w:r>
      <w:r>
        <w:rPr>
          <w:rFonts w:hint="eastAsia"/>
          <w:color w:val="222222"/>
          <w:sz w:val="24"/>
        </w:rPr>
        <w:t>，</w:t>
      </w:r>
      <w:r>
        <w:rPr>
          <w:color w:val="222222"/>
          <w:sz w:val="24"/>
        </w:rPr>
        <w:t xml:space="preserve"> 6.7%</w:t>
      </w:r>
      <w:r>
        <w:rPr>
          <w:rFonts w:hint="eastAsia"/>
          <w:color w:val="222222"/>
          <w:sz w:val="24"/>
        </w:rPr>
        <w:t>，</w:t>
      </w:r>
      <w:r>
        <w:rPr>
          <w:color w:val="222222"/>
          <w:sz w:val="24"/>
        </w:rPr>
        <w:t xml:space="preserve"> 10.0%</w:t>
      </w:r>
      <w:r>
        <w:rPr>
          <w:rFonts w:hint="eastAsia"/>
          <w:color w:val="222222"/>
          <w:sz w:val="24"/>
        </w:rPr>
        <w:t>，</w:t>
      </w:r>
      <w:r>
        <w:rPr>
          <w:color w:val="222222"/>
          <w:sz w:val="24"/>
        </w:rPr>
        <w:t>10.0%</w:t>
      </w:r>
      <w:r>
        <w:rPr>
          <w:rFonts w:hint="eastAsia"/>
          <w:color w:val="222222"/>
          <w:sz w:val="24"/>
        </w:rPr>
        <w:t>，</w:t>
      </w:r>
      <w:r>
        <w:rPr>
          <w:color w:val="222222"/>
          <w:sz w:val="24"/>
        </w:rPr>
        <w:t>17.0%</w:t>
      </w:r>
      <w:r>
        <w:rPr>
          <w:rFonts w:hint="eastAsia"/>
          <w:color w:val="222222"/>
          <w:sz w:val="24"/>
        </w:rPr>
        <w:t>，</w:t>
      </w:r>
      <w:r>
        <w:rPr>
          <w:color w:val="222222"/>
          <w:sz w:val="24"/>
        </w:rPr>
        <w:t>14.5%</w:t>
      </w:r>
      <w:r>
        <w:rPr>
          <w:rFonts w:hint="eastAsia"/>
          <w:color w:val="222222"/>
          <w:sz w:val="24"/>
        </w:rPr>
        <w:t>，</w:t>
      </w:r>
      <w:r>
        <w:rPr>
          <w:color w:val="222222"/>
          <w:sz w:val="24"/>
        </w:rPr>
        <w:t>9.5%</w:t>
      </w:r>
      <w:r>
        <w:rPr>
          <w:rFonts w:hint="eastAsia"/>
          <w:color w:val="222222"/>
          <w:sz w:val="24"/>
        </w:rPr>
        <w:t>，</w:t>
      </w:r>
      <w:r>
        <w:rPr>
          <w:color w:val="222222"/>
          <w:sz w:val="24"/>
        </w:rPr>
        <w:t>The total</w:t>
      </w:r>
      <w:r>
        <w:rPr>
          <w:rFonts w:hint="eastAsia"/>
          <w:color w:val="222222"/>
          <w:sz w:val="24"/>
        </w:rPr>
        <w:t xml:space="preserve"> </w:t>
      </w:r>
      <w:r>
        <w:rPr>
          <w:color w:val="222222"/>
          <w:sz w:val="24"/>
        </w:rPr>
        <w:t>average</w:t>
      </w:r>
      <w:r>
        <w:rPr>
          <w:rFonts w:hint="eastAsia"/>
          <w:color w:val="222222"/>
          <w:sz w:val="24"/>
        </w:rPr>
        <w:t xml:space="preserve"> </w:t>
      </w:r>
      <w:r>
        <w:rPr>
          <w:color w:val="222222"/>
          <w:sz w:val="24"/>
        </w:rPr>
        <w:t>survival rate</w:t>
      </w:r>
      <w:r>
        <w:rPr>
          <w:rFonts w:hint="eastAsia"/>
          <w:color w:val="222222"/>
          <w:sz w:val="24"/>
        </w:rPr>
        <w:t xml:space="preserve"> </w:t>
      </w:r>
      <w:r>
        <w:rPr>
          <w:color w:val="222222"/>
          <w:sz w:val="24"/>
        </w:rPr>
        <w:t>of infection</w:t>
      </w:r>
      <w:r>
        <w:rPr>
          <w:rFonts w:hint="eastAsia"/>
          <w:color w:val="222222"/>
          <w:sz w:val="24"/>
        </w:rPr>
        <w:t xml:space="preserve"> </w:t>
      </w:r>
      <w:r>
        <w:rPr>
          <w:color w:val="222222"/>
          <w:sz w:val="24"/>
        </w:rPr>
        <w:t>was</w:t>
      </w:r>
      <w:r>
        <w:rPr>
          <w:rFonts w:hint="eastAsia"/>
          <w:color w:val="222222"/>
          <w:sz w:val="24"/>
        </w:rPr>
        <w:t xml:space="preserve"> </w:t>
      </w:r>
      <w:r>
        <w:rPr>
          <w:color w:val="222222"/>
          <w:sz w:val="24"/>
        </w:rPr>
        <w:t>11.8%</w:t>
      </w:r>
      <w:r>
        <w:rPr>
          <w:rFonts w:hint="eastAsia"/>
          <w:color w:val="222222"/>
          <w:sz w:val="24"/>
        </w:rPr>
        <w:t>，</w:t>
      </w:r>
      <w:r>
        <w:rPr>
          <w:rFonts w:hint="eastAsia"/>
          <w:color w:val="222222"/>
          <w:sz w:val="24"/>
        </w:rPr>
        <w:t>there were</w:t>
      </w:r>
      <w:r>
        <w:rPr>
          <w:color w:val="222222"/>
          <w:sz w:val="24"/>
        </w:rPr>
        <w:t xml:space="preserve"> not</w:t>
      </w:r>
      <w:r>
        <w:rPr>
          <w:rFonts w:hint="eastAsia"/>
          <w:color w:val="222222"/>
          <w:sz w:val="24"/>
        </w:rPr>
        <w:t xml:space="preserve"> </w:t>
      </w:r>
      <w:r>
        <w:rPr>
          <w:color w:val="222222"/>
          <w:sz w:val="24"/>
        </w:rPr>
        <w:t>statistically significant</w:t>
      </w:r>
      <w:r>
        <w:rPr>
          <w:rFonts w:hint="eastAsia"/>
          <w:color w:val="222222"/>
          <w:sz w:val="24"/>
        </w:rPr>
        <w:t xml:space="preserve"> differences in each groups</w:t>
      </w:r>
      <w:r>
        <w:rPr>
          <w:color w:val="222222"/>
          <w:sz w:val="24"/>
        </w:rPr>
        <w:t>(</w:t>
      </w:r>
      <w:r>
        <w:rPr>
          <w:i/>
          <w:iCs/>
          <w:color w:val="222222"/>
          <w:sz w:val="24"/>
        </w:rPr>
        <w:t>P</w:t>
      </w:r>
      <w:r>
        <w:rPr>
          <w:color w:val="222222"/>
          <w:sz w:val="24"/>
        </w:rPr>
        <w:t>&gt; 0.05)</w:t>
      </w:r>
      <w:r>
        <w:rPr>
          <w:rFonts w:hint="eastAsia"/>
          <w:color w:val="222222"/>
          <w:sz w:val="24"/>
        </w:rPr>
        <w:t>；</w:t>
      </w:r>
      <w:r>
        <w:rPr>
          <w:color w:val="222222"/>
          <w:sz w:val="24"/>
        </w:rPr>
        <w:t>Adult</w:t>
      </w:r>
      <w:r>
        <w:rPr>
          <w:rFonts w:hint="eastAsia"/>
          <w:color w:val="222222"/>
          <w:sz w:val="24"/>
        </w:rPr>
        <w:t xml:space="preserve">s </w:t>
      </w:r>
      <w:r>
        <w:rPr>
          <w:color w:val="222222"/>
          <w:sz w:val="24"/>
        </w:rPr>
        <w:t>parasites in the</w:t>
      </w:r>
      <w:r>
        <w:rPr>
          <w:rFonts w:hint="eastAsia"/>
          <w:color w:val="222222"/>
          <w:sz w:val="24"/>
        </w:rPr>
        <w:t xml:space="preserve"> </w:t>
      </w:r>
      <w:r>
        <w:rPr>
          <w:color w:val="222222"/>
          <w:sz w:val="24"/>
        </w:rPr>
        <w:t>rat</w:t>
      </w:r>
      <w:r>
        <w:rPr>
          <w:rFonts w:hint="eastAsia"/>
          <w:color w:val="222222"/>
          <w:sz w:val="24"/>
        </w:rPr>
        <w:t xml:space="preserve"> </w:t>
      </w:r>
      <w:r>
        <w:rPr>
          <w:color w:val="222222"/>
          <w:sz w:val="24"/>
        </w:rPr>
        <w:t>duodenum</w:t>
      </w:r>
      <w:r>
        <w:rPr>
          <w:rFonts w:hint="eastAsia"/>
          <w:color w:val="222222"/>
          <w:sz w:val="24"/>
        </w:rPr>
        <w:t>，</w:t>
      </w:r>
      <w:r>
        <w:rPr>
          <w:color w:val="222222"/>
          <w:sz w:val="24"/>
        </w:rPr>
        <w:t>jejunum</w:t>
      </w:r>
      <w:r>
        <w:rPr>
          <w:rFonts w:hint="eastAsia"/>
          <w:color w:val="222222"/>
          <w:sz w:val="24"/>
        </w:rPr>
        <w:t>，</w:t>
      </w:r>
      <w:r>
        <w:rPr>
          <w:color w:val="222222"/>
          <w:sz w:val="24"/>
        </w:rPr>
        <w:t>ileum</w:t>
      </w:r>
      <w:r>
        <w:rPr>
          <w:rFonts w:hint="eastAsia"/>
          <w:color w:val="222222"/>
          <w:sz w:val="24"/>
        </w:rPr>
        <w:t>，</w:t>
      </w:r>
      <w:r>
        <w:rPr>
          <w:color w:val="222222"/>
          <w:sz w:val="24"/>
        </w:rPr>
        <w:t>distribution</w:t>
      </w:r>
      <w:r>
        <w:rPr>
          <w:rFonts w:hint="eastAsia"/>
          <w:color w:val="222222"/>
          <w:sz w:val="24"/>
        </w:rPr>
        <w:t xml:space="preserve"> </w:t>
      </w:r>
      <w:r>
        <w:rPr>
          <w:color w:val="222222"/>
          <w:sz w:val="24"/>
        </w:rPr>
        <w:t>rates</w:t>
      </w:r>
      <w:r>
        <w:rPr>
          <w:rFonts w:hint="eastAsia"/>
          <w:color w:val="222222"/>
          <w:sz w:val="24"/>
        </w:rPr>
        <w:t xml:space="preserve"> </w:t>
      </w:r>
      <w:r>
        <w:rPr>
          <w:color w:val="222222"/>
          <w:sz w:val="24"/>
        </w:rPr>
        <w:t>were</w:t>
      </w:r>
      <w:r>
        <w:rPr>
          <w:rFonts w:hint="eastAsia"/>
          <w:color w:val="222222"/>
          <w:sz w:val="24"/>
        </w:rPr>
        <w:t xml:space="preserve"> </w:t>
      </w:r>
      <w:r>
        <w:rPr>
          <w:color w:val="222222"/>
          <w:sz w:val="24"/>
        </w:rPr>
        <w:t>96.5%</w:t>
      </w:r>
      <w:r>
        <w:rPr>
          <w:rFonts w:hint="eastAsia"/>
          <w:color w:val="222222"/>
          <w:sz w:val="24"/>
        </w:rPr>
        <w:t>，</w:t>
      </w:r>
      <w:r>
        <w:rPr>
          <w:color w:val="222222"/>
          <w:sz w:val="24"/>
        </w:rPr>
        <w:t xml:space="preserve"> 2.7%</w:t>
      </w:r>
      <w:r>
        <w:rPr>
          <w:rFonts w:hint="eastAsia"/>
          <w:color w:val="222222"/>
          <w:sz w:val="24"/>
        </w:rPr>
        <w:t>，</w:t>
      </w:r>
      <w:r>
        <w:rPr>
          <w:color w:val="222222"/>
          <w:sz w:val="24"/>
        </w:rPr>
        <w:t xml:space="preserve"> 0.8%</w:t>
      </w:r>
      <w:r>
        <w:rPr>
          <w:rFonts w:hint="eastAsia"/>
          <w:color w:val="222222"/>
          <w:sz w:val="24"/>
        </w:rPr>
        <w:t>，</w:t>
      </w:r>
      <w:r>
        <w:rPr>
          <w:rFonts w:hint="eastAsia"/>
          <w:color w:val="222222"/>
          <w:sz w:val="24"/>
        </w:rPr>
        <w:t>s</w:t>
      </w:r>
      <w:r>
        <w:rPr>
          <w:color w:val="222222"/>
          <w:sz w:val="24"/>
        </w:rPr>
        <w:t>uccessively</w:t>
      </w:r>
      <w:r>
        <w:rPr>
          <w:rFonts w:hint="eastAsia"/>
          <w:color w:val="222222"/>
          <w:sz w:val="24"/>
        </w:rPr>
        <w:t>，</w:t>
      </w:r>
      <w:r>
        <w:rPr>
          <w:rFonts w:hint="eastAsia"/>
          <w:color w:val="222222"/>
          <w:sz w:val="24"/>
        </w:rPr>
        <w:t xml:space="preserve">there were </w:t>
      </w:r>
      <w:r>
        <w:rPr>
          <w:color w:val="222222"/>
          <w:sz w:val="24"/>
        </w:rPr>
        <w:t>statistically significant</w:t>
      </w:r>
      <w:r>
        <w:rPr>
          <w:rFonts w:hint="eastAsia"/>
          <w:color w:val="222222"/>
          <w:sz w:val="24"/>
        </w:rPr>
        <w:t xml:space="preserve"> differences in e</w:t>
      </w:r>
      <w:r>
        <w:rPr>
          <w:color w:val="222222"/>
          <w:sz w:val="24"/>
        </w:rPr>
        <w:t>ach groups(</w:t>
      </w:r>
      <w:r>
        <w:rPr>
          <w:i/>
          <w:iCs/>
          <w:color w:val="222222"/>
          <w:sz w:val="24"/>
        </w:rPr>
        <w:t>P</w:t>
      </w:r>
      <w:r>
        <w:rPr>
          <w:rFonts w:hint="eastAsia"/>
          <w:color w:val="222222"/>
          <w:sz w:val="24"/>
        </w:rPr>
        <w:t>&lt;</w:t>
      </w:r>
      <w:r>
        <w:rPr>
          <w:color w:val="222222"/>
          <w:sz w:val="24"/>
        </w:rPr>
        <w:t xml:space="preserve"> 0.05)</w:t>
      </w:r>
      <w:r>
        <w:rPr>
          <w:color w:val="222222"/>
          <w:sz w:val="24"/>
        </w:rPr>
        <w:t>。</w:t>
      </w:r>
      <w:r>
        <w:rPr>
          <w:b/>
          <w:bCs/>
          <w:sz w:val="24"/>
        </w:rPr>
        <w:t xml:space="preserve">Conclusion  </w:t>
      </w:r>
      <w:r>
        <w:rPr>
          <w:color w:val="222222"/>
          <w:sz w:val="24"/>
        </w:rPr>
        <w:t>Obviously</w:t>
      </w:r>
      <w:r>
        <w:rPr>
          <w:rFonts w:hint="eastAsia"/>
          <w:color w:val="222222"/>
          <w:sz w:val="24"/>
        </w:rPr>
        <w:t>,</w:t>
      </w:r>
      <w:r>
        <w:rPr>
          <w:sz w:val="24"/>
        </w:rPr>
        <w:t xml:space="preserve"> loach were infected by activity </w:t>
      </w:r>
      <w:r>
        <w:rPr>
          <w:color w:val="222222"/>
          <w:sz w:val="24"/>
        </w:rPr>
        <w:t>metacercariae of C.f</w:t>
      </w:r>
      <w:r>
        <w:rPr>
          <w:i/>
          <w:sz w:val="24"/>
        </w:rPr>
        <w:t xml:space="preserve">ormosanus are </w:t>
      </w:r>
      <w:r>
        <w:rPr>
          <w:sz w:val="24"/>
        </w:rPr>
        <w:t>presence</w:t>
      </w:r>
      <w:r>
        <w:rPr>
          <w:sz w:val="24"/>
        </w:rPr>
        <w:t>，</w:t>
      </w:r>
      <w:r>
        <w:rPr>
          <w:sz w:val="24"/>
        </w:rPr>
        <w:t>with high infection rate and</w:t>
      </w:r>
      <w:r>
        <w:rPr>
          <w:color w:val="222222"/>
          <w:sz w:val="24"/>
        </w:rPr>
        <w:t xml:space="preserve"> intensity of infection</w:t>
      </w:r>
      <w:r>
        <w:rPr>
          <w:color w:val="222222"/>
          <w:sz w:val="24"/>
        </w:rPr>
        <w:t>，</w:t>
      </w:r>
      <w:r>
        <w:rPr>
          <w:color w:val="222222"/>
          <w:sz w:val="24"/>
        </w:rPr>
        <w:t>the metacercariae</w:t>
      </w:r>
      <w:r>
        <w:rPr>
          <w:sz w:val="24"/>
        </w:rPr>
        <w:t xml:space="preserve"> </w:t>
      </w:r>
      <w:r>
        <w:rPr>
          <w:color w:val="222222"/>
          <w:sz w:val="24"/>
        </w:rPr>
        <w:t>parasites in heads and gills of loach mostly</w:t>
      </w:r>
      <w:r>
        <w:rPr>
          <w:color w:val="222222"/>
          <w:sz w:val="24"/>
        </w:rPr>
        <w:t>；</w:t>
      </w:r>
      <w:r>
        <w:rPr>
          <w:color w:val="222222"/>
          <w:sz w:val="24"/>
        </w:rPr>
        <w:lastRenderedPageBreak/>
        <w:t xml:space="preserve">SD rats </w:t>
      </w:r>
      <w:r>
        <w:rPr>
          <w:rFonts w:hint="eastAsia"/>
          <w:color w:val="222222"/>
          <w:sz w:val="24"/>
        </w:rPr>
        <w:t>modle c</w:t>
      </w:r>
      <w:r>
        <w:rPr>
          <w:color w:val="222222"/>
          <w:sz w:val="24"/>
        </w:rPr>
        <w:t>an be</w:t>
      </w:r>
      <w:r>
        <w:rPr>
          <w:rFonts w:hint="eastAsia"/>
          <w:color w:val="222222"/>
          <w:sz w:val="24"/>
        </w:rPr>
        <w:t xml:space="preserve"> </w:t>
      </w:r>
      <w:r>
        <w:rPr>
          <w:color w:val="222222"/>
          <w:sz w:val="24"/>
        </w:rPr>
        <w:t>successfully established</w:t>
      </w:r>
      <w:r>
        <w:rPr>
          <w:rFonts w:hint="eastAsia"/>
          <w:color w:val="222222"/>
          <w:sz w:val="24"/>
        </w:rPr>
        <w:t xml:space="preserve"> by orally infect  </w:t>
      </w:r>
      <w:r>
        <w:rPr>
          <w:rFonts w:hint="eastAsia"/>
          <w:sz w:val="24"/>
        </w:rPr>
        <w:t xml:space="preserve">activity </w:t>
      </w:r>
      <w:r>
        <w:rPr>
          <w:color w:val="222222"/>
          <w:sz w:val="24"/>
        </w:rPr>
        <w:t>metacercariae</w:t>
      </w:r>
      <w:r>
        <w:rPr>
          <w:rFonts w:hint="eastAsia"/>
          <w:color w:val="222222"/>
          <w:sz w:val="24"/>
        </w:rPr>
        <w:t>，</w:t>
      </w:r>
      <w:r>
        <w:rPr>
          <w:rFonts w:hint="eastAsia"/>
          <w:color w:val="222222"/>
          <w:sz w:val="24"/>
        </w:rPr>
        <w:t>and a</w:t>
      </w:r>
      <w:r>
        <w:rPr>
          <w:color w:val="222222"/>
          <w:sz w:val="24"/>
        </w:rPr>
        <w:t>dult</w:t>
      </w:r>
      <w:r>
        <w:rPr>
          <w:rFonts w:hint="eastAsia"/>
          <w:color w:val="222222"/>
          <w:sz w:val="24"/>
        </w:rPr>
        <w:t xml:space="preserve">s </w:t>
      </w:r>
      <w:r>
        <w:rPr>
          <w:color w:val="222222"/>
          <w:sz w:val="24"/>
        </w:rPr>
        <w:t>parasites in the</w:t>
      </w:r>
      <w:r>
        <w:rPr>
          <w:rFonts w:hint="eastAsia"/>
          <w:color w:val="222222"/>
          <w:sz w:val="24"/>
        </w:rPr>
        <w:t xml:space="preserve"> </w:t>
      </w:r>
      <w:r>
        <w:rPr>
          <w:color w:val="222222"/>
          <w:sz w:val="24"/>
        </w:rPr>
        <w:t>rat</w:t>
      </w:r>
      <w:r>
        <w:rPr>
          <w:rFonts w:hint="eastAsia"/>
          <w:color w:val="222222"/>
          <w:sz w:val="24"/>
        </w:rPr>
        <w:t xml:space="preserve"> </w:t>
      </w:r>
      <w:r>
        <w:rPr>
          <w:color w:val="222222"/>
          <w:sz w:val="24"/>
        </w:rPr>
        <w:t>duodenum</w:t>
      </w:r>
      <w:r>
        <w:rPr>
          <w:sz w:val="24"/>
        </w:rPr>
        <w:t xml:space="preserve"> </w:t>
      </w:r>
      <w:r>
        <w:rPr>
          <w:rFonts w:hint="eastAsia"/>
          <w:sz w:val="24"/>
        </w:rPr>
        <w:t>p</w:t>
      </w:r>
      <w:r>
        <w:rPr>
          <w:sz w:val="24"/>
        </w:rPr>
        <w:t>rimarily</w:t>
      </w:r>
      <w:r>
        <w:rPr>
          <w:rFonts w:hint="eastAsia"/>
          <w:sz w:val="24"/>
        </w:rPr>
        <w:t>.</w:t>
      </w:r>
    </w:p>
    <w:p w:rsidR="006F0EE3" w:rsidRDefault="006F0EE3">
      <w:pPr>
        <w:spacing w:line="360" w:lineRule="auto"/>
        <w:rPr>
          <w:sz w:val="24"/>
        </w:rPr>
      </w:pPr>
      <w:r>
        <w:rPr>
          <w:b/>
          <w:bCs/>
          <w:sz w:val="24"/>
        </w:rPr>
        <w:t>[Key words]</w:t>
      </w:r>
      <w:r>
        <w:rPr>
          <w:rFonts w:hint="eastAsia"/>
          <w:sz w:val="24"/>
        </w:rPr>
        <w:t xml:space="preserve"> Guangxi Binyang</w:t>
      </w:r>
      <w:r>
        <w:rPr>
          <w:rFonts w:hint="eastAsia"/>
          <w:sz w:val="24"/>
        </w:rPr>
        <w:t>；</w:t>
      </w:r>
      <w:r>
        <w:rPr>
          <w:i/>
          <w:sz w:val="24"/>
        </w:rPr>
        <w:t>Centrocestus formosanus</w:t>
      </w:r>
      <w:r>
        <w:rPr>
          <w:rFonts w:hint="eastAsia"/>
          <w:iCs/>
          <w:sz w:val="24"/>
        </w:rPr>
        <w:t>；</w:t>
      </w:r>
      <w:r>
        <w:rPr>
          <w:sz w:val="24"/>
        </w:rPr>
        <w:t>loach</w:t>
      </w:r>
      <w:r>
        <w:rPr>
          <w:rFonts w:hint="eastAsia"/>
          <w:sz w:val="24"/>
        </w:rPr>
        <w:t>；</w:t>
      </w:r>
      <w:r>
        <w:rPr>
          <w:sz w:val="24"/>
        </w:rPr>
        <w:t>Infection rate</w:t>
      </w:r>
      <w:r>
        <w:rPr>
          <w:rFonts w:hint="eastAsia"/>
          <w:sz w:val="24"/>
        </w:rPr>
        <w:t>；</w:t>
      </w:r>
      <w:r>
        <w:rPr>
          <w:rFonts w:hint="eastAsia"/>
          <w:iCs/>
          <w:sz w:val="24"/>
        </w:rPr>
        <w:t>Animal Models</w:t>
      </w:r>
      <w:r>
        <w:rPr>
          <w:rFonts w:hint="eastAsia"/>
          <w:iCs/>
          <w:sz w:val="24"/>
        </w:rPr>
        <w:t>；</w:t>
      </w:r>
    </w:p>
    <w:p w:rsidR="006F0EE3" w:rsidRDefault="006F0EE3">
      <w:pPr>
        <w:spacing w:line="360" w:lineRule="auto"/>
        <w:ind w:firstLineChars="200" w:firstLine="480"/>
        <w:rPr>
          <w:rFonts w:ascii="宋体" w:hAnsi="宋体" w:cs="宋体" w:hint="eastAsia"/>
          <w:sz w:val="24"/>
        </w:rPr>
      </w:pPr>
      <w:r>
        <w:rPr>
          <w:rFonts w:ascii="宋体" w:hAnsi="宋体" w:cs="宋体" w:hint="eastAsia"/>
          <w:sz w:val="24"/>
        </w:rPr>
        <w:t>台湾棘带吸虫（</w:t>
      </w:r>
      <w:r>
        <w:rPr>
          <w:rFonts w:ascii="宋体" w:hAnsi="宋体" w:cs="宋体" w:hint="eastAsia"/>
          <w:i/>
          <w:sz w:val="24"/>
        </w:rPr>
        <w:t>Centrocestus formosanus Nishigori</w:t>
      </w:r>
      <w:r>
        <w:rPr>
          <w:rFonts w:ascii="宋体" w:hAnsi="宋体" w:cs="宋体" w:hint="eastAsia"/>
          <w:sz w:val="24"/>
        </w:rPr>
        <w:t>，1924）异形科棘带属吸虫，为鱼源性寄生虫，是人、畜和禽类的共同寄生虫病原</w:t>
      </w:r>
      <w:r>
        <w:rPr>
          <w:rFonts w:ascii="宋体" w:hAnsi="宋体" w:cs="宋体" w:hint="eastAsia"/>
          <w:sz w:val="24"/>
          <w:vertAlign w:val="superscript"/>
        </w:rPr>
        <w:t>[1 2 3]</w:t>
      </w:r>
      <w:r>
        <w:rPr>
          <w:rFonts w:ascii="宋体" w:hAnsi="宋体" w:cs="宋体" w:hint="eastAsia"/>
          <w:sz w:val="24"/>
        </w:rPr>
        <w:t>。</w:t>
      </w:r>
      <w:r>
        <w:rPr>
          <w:rFonts w:ascii="宋体" w:hAnsi="宋体" w:cs="宋体" w:hint="eastAsia"/>
          <w:kern w:val="0"/>
          <w:sz w:val="24"/>
        </w:rPr>
        <w:t>台湾棘带吸虫的第一中间宿主为中华长尾螺（</w:t>
      </w:r>
      <w:r>
        <w:rPr>
          <w:i/>
          <w:iCs/>
          <w:kern w:val="0"/>
          <w:sz w:val="24"/>
        </w:rPr>
        <w:t>Melanoides tuberculate Chinensis</w:t>
      </w:r>
      <w:r>
        <w:rPr>
          <w:rFonts w:ascii="宋体" w:hAnsi="宋体" w:cs="宋体" w:hint="eastAsia"/>
          <w:kern w:val="0"/>
          <w:sz w:val="24"/>
        </w:rPr>
        <w:t>），第二中间宿主为淡水鱼类，</w:t>
      </w:r>
      <w:r>
        <w:rPr>
          <w:rFonts w:ascii="宋体" w:hAnsi="宋体" w:cs="宋体" w:hint="eastAsia"/>
          <w:sz w:val="24"/>
        </w:rPr>
        <w:t>自然感染的终末宿主为哺乳类和鸟类。</w:t>
      </w:r>
      <w:r>
        <w:rPr>
          <w:rFonts w:ascii="宋体" w:hAnsi="宋体" w:cs="宋体" w:hint="eastAsia"/>
          <w:kern w:val="0"/>
          <w:sz w:val="24"/>
        </w:rPr>
        <w:t>有研究发现两栖类的泽蛙和爬行类的中国水蛇(</w:t>
      </w:r>
      <w:r>
        <w:rPr>
          <w:i/>
          <w:iCs/>
          <w:kern w:val="0"/>
          <w:sz w:val="24"/>
        </w:rPr>
        <w:t>Enhydris Chinensis</w:t>
      </w:r>
      <w:r>
        <w:rPr>
          <w:rFonts w:ascii="宋体" w:hAnsi="宋体" w:cs="宋体" w:hint="eastAsia"/>
          <w:kern w:val="0"/>
          <w:sz w:val="24"/>
        </w:rPr>
        <w:t>)也是台湾棘带吸虫的终末宿主，且感染台湾棘带吸虫会导致淡水鱼等中间宿主的死亡</w:t>
      </w:r>
      <w:r>
        <w:rPr>
          <w:rFonts w:ascii="宋体" w:hAnsi="宋体" w:cs="宋体" w:hint="eastAsia"/>
          <w:kern w:val="0"/>
          <w:sz w:val="24"/>
          <w:vertAlign w:val="superscript"/>
        </w:rPr>
        <w:t>[4 5]</w:t>
      </w:r>
      <w:r>
        <w:rPr>
          <w:rFonts w:ascii="宋体" w:hAnsi="宋体" w:cs="宋体" w:hint="eastAsia"/>
          <w:kern w:val="0"/>
          <w:sz w:val="24"/>
        </w:rPr>
        <w:t>。</w:t>
      </w:r>
      <w:r>
        <w:rPr>
          <w:rFonts w:ascii="宋体" w:hAnsi="宋体" w:cs="宋体" w:hint="eastAsia"/>
          <w:sz w:val="24"/>
        </w:rPr>
        <w:t>目前，有12个国家报道发现台湾棘带吸虫</w:t>
      </w:r>
      <w:r>
        <w:rPr>
          <w:rFonts w:ascii="宋体" w:hAnsi="宋体" w:cs="宋体" w:hint="eastAsia"/>
          <w:sz w:val="24"/>
          <w:vertAlign w:val="superscript"/>
        </w:rPr>
        <w:t>[6]</w:t>
      </w:r>
      <w:r>
        <w:rPr>
          <w:rFonts w:ascii="宋体" w:hAnsi="宋体" w:cs="宋体" w:hint="eastAsia"/>
          <w:sz w:val="24"/>
        </w:rPr>
        <w:t>，我国主要分布在台湾、广东、福建等沿海地区</w:t>
      </w:r>
      <w:r>
        <w:rPr>
          <w:rFonts w:ascii="宋体" w:hAnsi="宋体" w:cs="宋体" w:hint="eastAsia"/>
          <w:sz w:val="24"/>
          <w:vertAlign w:val="superscript"/>
        </w:rPr>
        <w:t>[7]</w:t>
      </w:r>
      <w:r>
        <w:rPr>
          <w:rFonts w:ascii="宋体" w:hAnsi="宋体" w:cs="宋体" w:hint="eastAsia"/>
          <w:sz w:val="24"/>
        </w:rPr>
        <w:t>。1991年首次报道感染台湾棘带吸虫病例，1995年广西首次发现台湾棘带吸虫的感染</w:t>
      </w:r>
      <w:r>
        <w:rPr>
          <w:rFonts w:ascii="宋体" w:hAnsi="宋体" w:cs="宋体" w:hint="eastAsia"/>
          <w:sz w:val="24"/>
          <w:vertAlign w:val="superscript"/>
        </w:rPr>
        <w:t>[8 9]</w:t>
      </w:r>
      <w:r>
        <w:rPr>
          <w:rFonts w:ascii="宋体" w:hAnsi="宋体" w:cs="宋体" w:hint="eastAsia"/>
          <w:sz w:val="24"/>
        </w:rPr>
        <w:t>。泥鳅是广西当地居民的家常菜之一，民间更有食用生泥鳅“治疗”肝炎的说法。</w:t>
      </w:r>
    </w:p>
    <w:p w:rsidR="006F0EE3" w:rsidRDefault="006F0EE3">
      <w:pPr>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因此，本实验将首先通过调查泥鳅中台湾棘带吸虫囊蚴感染情况，采用不同数量的台湾棘带吸虫囊蚴成梯度感染SD大鼠，建立台湾棘带吸虫感染大鼠动物模型。</w:t>
      </w:r>
    </w:p>
    <w:p w:rsidR="006F0EE3" w:rsidRDefault="006F0EE3">
      <w:pPr>
        <w:spacing w:line="360" w:lineRule="auto"/>
        <w:jc w:val="center"/>
        <w:rPr>
          <w:rFonts w:ascii="宋体" w:hAnsi="宋体" w:cs="宋体" w:hint="eastAsia"/>
          <w:sz w:val="24"/>
        </w:rPr>
      </w:pPr>
      <w:r>
        <w:rPr>
          <w:rFonts w:ascii="宋体" w:hAnsi="宋体" w:cs="宋体" w:hint="eastAsia"/>
          <w:b/>
          <w:bCs/>
          <w:sz w:val="24"/>
        </w:rPr>
        <w:t>材料与方法</w:t>
      </w:r>
    </w:p>
    <w:p w:rsidR="006F0EE3" w:rsidRDefault="006F0EE3">
      <w:pPr>
        <w:spacing w:line="360" w:lineRule="auto"/>
        <w:outlineLvl w:val="0"/>
        <w:rPr>
          <w:rFonts w:ascii="宋体" w:hAnsi="宋体" w:cs="宋体" w:hint="eastAsia"/>
          <w:sz w:val="24"/>
        </w:rPr>
      </w:pPr>
      <w:r>
        <w:rPr>
          <w:rFonts w:ascii="宋体" w:hAnsi="宋体" w:cs="宋体" w:hint="eastAsia"/>
          <w:b/>
          <w:bCs/>
          <w:sz w:val="24"/>
        </w:rPr>
        <w:t>1  材料</w:t>
      </w:r>
      <w:r>
        <w:rPr>
          <w:rFonts w:ascii="宋体" w:hAnsi="宋体" w:cs="宋体" w:hint="eastAsia"/>
          <w:sz w:val="24"/>
        </w:rPr>
        <w:t xml:space="preserve"> </w:t>
      </w:r>
    </w:p>
    <w:p w:rsidR="006F0EE3" w:rsidRDefault="006F0EE3">
      <w:pPr>
        <w:spacing w:line="360" w:lineRule="auto"/>
        <w:ind w:firstLineChars="200" w:firstLine="480"/>
        <w:outlineLvl w:val="0"/>
        <w:rPr>
          <w:rFonts w:ascii="宋体" w:hAnsi="宋体" w:cs="宋体" w:hint="eastAsia"/>
          <w:sz w:val="24"/>
        </w:rPr>
      </w:pPr>
      <w:r>
        <w:rPr>
          <w:rFonts w:ascii="宋体" w:hAnsi="宋体" w:cs="宋体" w:hint="eastAsia"/>
          <w:sz w:val="24"/>
        </w:rPr>
        <w:t>泥鳅，分别采自广西宾阳县大桥镇和广西宾阳县王灵镇；雌性SD大鼠23只，广西医科大学实验动物中心提供。</w:t>
      </w:r>
    </w:p>
    <w:p w:rsidR="006F0EE3" w:rsidRDefault="006F0EE3">
      <w:pPr>
        <w:spacing w:line="360" w:lineRule="auto"/>
        <w:rPr>
          <w:rFonts w:ascii="宋体" w:hAnsi="宋体" w:cs="宋体" w:hint="eastAsia"/>
          <w:sz w:val="24"/>
        </w:rPr>
      </w:pPr>
      <w:r>
        <w:rPr>
          <w:rFonts w:ascii="宋体" w:hAnsi="宋体" w:cs="宋体" w:hint="eastAsia"/>
          <w:b/>
          <w:bCs/>
          <w:sz w:val="24"/>
        </w:rPr>
        <w:t>2  方法</w:t>
      </w:r>
    </w:p>
    <w:p w:rsidR="006F0EE3" w:rsidRDefault="006F0EE3">
      <w:pPr>
        <w:spacing w:line="360" w:lineRule="auto"/>
        <w:rPr>
          <w:rFonts w:ascii="宋体" w:hAnsi="宋体" w:cs="宋体" w:hint="eastAsia"/>
          <w:sz w:val="24"/>
        </w:rPr>
      </w:pPr>
      <w:r>
        <w:rPr>
          <w:rFonts w:ascii="宋体" w:hAnsi="宋体" w:cs="宋体" w:hint="eastAsia"/>
          <w:b/>
          <w:bCs/>
          <w:sz w:val="24"/>
        </w:rPr>
        <w:t xml:space="preserve">2.1 </w:t>
      </w:r>
      <w:r>
        <w:rPr>
          <w:rFonts w:ascii="宋体" w:hAnsi="宋体" w:cs="宋体" w:hint="eastAsia"/>
          <w:sz w:val="24"/>
        </w:rPr>
        <w:t>泥鳅台湾棘带吸虫感染情况调查</w:t>
      </w:r>
    </w:p>
    <w:p w:rsidR="006F0EE3" w:rsidRDefault="006F0EE3">
      <w:pPr>
        <w:spacing w:line="360" w:lineRule="auto"/>
        <w:rPr>
          <w:rFonts w:ascii="宋体" w:hAnsi="宋体" w:cs="宋体" w:hint="eastAsia"/>
          <w:sz w:val="24"/>
        </w:rPr>
      </w:pPr>
      <w:r>
        <w:rPr>
          <w:rFonts w:ascii="宋体" w:hAnsi="宋体" w:cs="宋体" w:hint="eastAsia"/>
          <w:b/>
          <w:bCs/>
          <w:sz w:val="24"/>
        </w:rPr>
        <w:t xml:space="preserve">2.1.1 </w:t>
      </w:r>
      <w:r>
        <w:rPr>
          <w:rFonts w:ascii="宋体" w:hAnsi="宋体" w:cs="宋体" w:hint="eastAsia"/>
          <w:sz w:val="24"/>
        </w:rPr>
        <w:t>泥鳅称重  将购自大桥镇的泥鳅设为第一组，分别称每条泥鳅重量并记录；将购自王灵镇的泥鳅设为第二组，剪下头腮部，分别称量头腮部与身尾部并记录。</w:t>
      </w:r>
    </w:p>
    <w:p w:rsidR="006F0EE3" w:rsidRDefault="006F0EE3">
      <w:pPr>
        <w:spacing w:line="360" w:lineRule="auto"/>
        <w:rPr>
          <w:rFonts w:ascii="宋体" w:hAnsi="宋体" w:cs="宋体" w:hint="eastAsia"/>
          <w:sz w:val="24"/>
        </w:rPr>
      </w:pPr>
      <w:r>
        <w:rPr>
          <w:rFonts w:ascii="宋体" w:hAnsi="宋体" w:cs="宋体" w:hint="eastAsia"/>
          <w:b/>
          <w:bCs/>
          <w:sz w:val="24"/>
        </w:rPr>
        <w:t>2.1.2</w:t>
      </w:r>
      <w:r>
        <w:rPr>
          <w:rFonts w:ascii="宋体" w:hAnsi="宋体" w:cs="宋体" w:hint="eastAsia"/>
          <w:sz w:val="24"/>
        </w:rPr>
        <w:t>配制消化液  称量9g NaCl、7ml浓盐酸、1000ml双蒸水混合，最后加入8g胃蛋白酶，搅拌至完全溶解。</w:t>
      </w:r>
    </w:p>
    <w:p w:rsidR="006F0EE3" w:rsidRDefault="006F0EE3">
      <w:pPr>
        <w:shd w:val="clear" w:color="auto" w:fill="FFFFFF"/>
        <w:snapToGrid w:val="0"/>
        <w:spacing w:line="360" w:lineRule="auto"/>
        <w:rPr>
          <w:rFonts w:ascii="宋体" w:hAnsi="宋体" w:cs="宋体" w:hint="eastAsia"/>
          <w:sz w:val="24"/>
        </w:rPr>
      </w:pPr>
      <w:r>
        <w:rPr>
          <w:rFonts w:ascii="宋体" w:hAnsi="宋体" w:cs="宋体" w:hint="eastAsia"/>
          <w:b/>
          <w:bCs/>
          <w:sz w:val="24"/>
        </w:rPr>
        <w:t>2.1.3</w:t>
      </w:r>
      <w:r>
        <w:rPr>
          <w:rFonts w:ascii="宋体" w:hAnsi="宋体" w:cs="宋体" w:hint="eastAsia"/>
          <w:sz w:val="24"/>
        </w:rPr>
        <w:t>消化  将称重后的泥鳅先分别放入研钵捣碎，再放入大号离心管，按1g泥鳅5ml消化液比例加消化液，置于摇床。摇动消化4</w:t>
      </w:r>
      <w:r>
        <w:rPr>
          <w:rFonts w:ascii="宋体" w:hAnsi="宋体" w:cs="宋体" w:hint="eastAsia"/>
          <w:color w:val="000000"/>
          <w:sz w:val="24"/>
        </w:rPr>
        <w:t>～</w:t>
      </w:r>
      <w:r>
        <w:rPr>
          <w:rFonts w:ascii="宋体" w:hAnsi="宋体" w:cs="宋体" w:hint="eastAsia"/>
          <w:sz w:val="24"/>
        </w:rPr>
        <w:t>5小时后，用网筛滤掉残渣，沉淀，去掉上层液，加入生理盐水反复洗涤3</w:t>
      </w:r>
      <w:r>
        <w:rPr>
          <w:rFonts w:ascii="宋体" w:hAnsi="宋体" w:cs="宋体" w:hint="eastAsia"/>
          <w:color w:val="000000"/>
          <w:sz w:val="24"/>
        </w:rPr>
        <w:t>～</w:t>
      </w:r>
      <w:r>
        <w:rPr>
          <w:rFonts w:ascii="宋体" w:hAnsi="宋体" w:cs="宋体" w:hint="eastAsia"/>
          <w:sz w:val="24"/>
        </w:rPr>
        <w:t>4次，直至上层液澄清，</w:t>
      </w:r>
      <w:r>
        <w:rPr>
          <w:rFonts w:ascii="宋体" w:hAnsi="宋体" w:cs="宋体" w:hint="eastAsia"/>
          <w:sz w:val="24"/>
        </w:rPr>
        <w:lastRenderedPageBreak/>
        <w:t>置于4℃冰箱保存。</w:t>
      </w:r>
    </w:p>
    <w:p w:rsidR="006F0EE3" w:rsidRDefault="006F0EE3">
      <w:pPr>
        <w:spacing w:line="360" w:lineRule="auto"/>
        <w:rPr>
          <w:rFonts w:ascii="宋体" w:hAnsi="宋体" w:cs="宋体" w:hint="eastAsia"/>
          <w:sz w:val="24"/>
        </w:rPr>
      </w:pPr>
      <w:r>
        <w:rPr>
          <w:rFonts w:ascii="宋体" w:hAnsi="宋体" w:cs="宋体" w:hint="eastAsia"/>
          <w:b/>
          <w:bCs/>
          <w:sz w:val="24"/>
        </w:rPr>
        <w:t>2.1.4</w:t>
      </w:r>
      <w:r>
        <w:rPr>
          <w:rFonts w:ascii="宋体" w:hAnsi="宋体" w:cs="宋体" w:hint="eastAsia"/>
          <w:sz w:val="24"/>
        </w:rPr>
        <w:t xml:space="preserve"> 检查囊蚴  用胶头滴管从离心管中吸取沉淀物及少量上清至培养皿，在解剖镜下检查囊蚴。并按5，10，20，30，40，50，100，200梯度分组，分别装入EP管中，置于中4℃冰箱保存备用。</w:t>
      </w:r>
    </w:p>
    <w:p w:rsidR="006F0EE3" w:rsidRDefault="006F0EE3">
      <w:pPr>
        <w:spacing w:line="360" w:lineRule="auto"/>
        <w:rPr>
          <w:rFonts w:ascii="宋体" w:hAnsi="宋体" w:cs="宋体" w:hint="eastAsia"/>
          <w:sz w:val="24"/>
        </w:rPr>
      </w:pPr>
      <w:r>
        <w:rPr>
          <w:rFonts w:ascii="宋体" w:hAnsi="宋体" w:cs="宋体" w:hint="eastAsia"/>
          <w:b/>
          <w:bCs/>
          <w:sz w:val="24"/>
        </w:rPr>
        <w:t xml:space="preserve">2.2 </w:t>
      </w:r>
      <w:r>
        <w:rPr>
          <w:rFonts w:ascii="宋体" w:hAnsi="宋体" w:cs="宋体" w:hint="eastAsia"/>
          <w:sz w:val="24"/>
        </w:rPr>
        <w:t xml:space="preserve">SD大鼠感染实验 </w:t>
      </w:r>
    </w:p>
    <w:p w:rsidR="006F0EE3" w:rsidRDefault="006F0EE3">
      <w:pPr>
        <w:spacing w:line="360" w:lineRule="auto"/>
        <w:rPr>
          <w:rFonts w:ascii="宋体" w:hAnsi="宋体" w:cs="宋体" w:hint="eastAsia"/>
          <w:sz w:val="24"/>
        </w:rPr>
      </w:pPr>
      <w:r>
        <w:rPr>
          <w:rFonts w:ascii="宋体" w:hAnsi="宋体" w:cs="宋体" w:hint="eastAsia"/>
          <w:b/>
          <w:bCs/>
          <w:sz w:val="24"/>
        </w:rPr>
        <w:t>2.2.1</w:t>
      </w:r>
      <w:r>
        <w:rPr>
          <w:rFonts w:ascii="宋体" w:hAnsi="宋体" w:cs="宋体" w:hint="eastAsia"/>
          <w:sz w:val="24"/>
        </w:rPr>
        <w:t xml:space="preserve"> 动物模型建立  将23只大鼠按1～23编号，用灌胃针灌胃，1～5号大鼠每只灌5个囊蚴，6～10号大鼠每只灌10个囊蚴，11～13号大鼠每只灌20个囊蚴， 14、15号大鼠每只灌30个囊蚴， 16、17号大鼠每只灌40个囊蚴， 18、19号大鼠每只灌50个囊蚴， 20、21号大鼠每只灌100个囊蚴，22、23号大鼠每只灌200个囊蚴。</w:t>
      </w:r>
    </w:p>
    <w:p w:rsidR="006F0EE3" w:rsidRDefault="006F0EE3">
      <w:pPr>
        <w:spacing w:line="360" w:lineRule="auto"/>
        <w:rPr>
          <w:rFonts w:ascii="宋体" w:hAnsi="宋体" w:cs="宋体" w:hint="eastAsia"/>
          <w:sz w:val="24"/>
        </w:rPr>
      </w:pPr>
      <w:r>
        <w:rPr>
          <w:rFonts w:ascii="宋体" w:hAnsi="宋体" w:cs="宋体" w:hint="eastAsia"/>
          <w:b/>
          <w:bCs/>
          <w:sz w:val="24"/>
        </w:rPr>
        <w:t>2.2.2</w:t>
      </w:r>
      <w:r>
        <w:rPr>
          <w:rFonts w:ascii="宋体" w:hAnsi="宋体" w:cs="宋体" w:hint="eastAsia"/>
          <w:sz w:val="24"/>
        </w:rPr>
        <w:t xml:space="preserve"> 粪便检查  从灌胃后第5d开始，每天取大鼠1～2克新鲜粪便，采用改良酸醚法</w:t>
      </w:r>
      <w:r>
        <w:rPr>
          <w:rFonts w:ascii="宋体" w:hAnsi="宋体" w:cs="宋体" w:hint="eastAsia"/>
          <w:sz w:val="24"/>
          <w:vertAlign w:val="superscript"/>
        </w:rPr>
        <w:t>[10]</w:t>
      </w:r>
      <w:r>
        <w:rPr>
          <w:rFonts w:ascii="宋体" w:hAnsi="宋体" w:cs="宋体" w:hint="eastAsia"/>
          <w:sz w:val="24"/>
        </w:rPr>
        <w:t>进行粪检，直至检到虫卵，记录结果并观察虫卵形态特征。</w:t>
      </w:r>
    </w:p>
    <w:p w:rsidR="006F0EE3" w:rsidRDefault="006F0EE3">
      <w:pPr>
        <w:spacing w:line="360" w:lineRule="auto"/>
        <w:rPr>
          <w:rFonts w:ascii="宋体" w:hAnsi="宋体" w:cs="宋体" w:hint="eastAsia"/>
          <w:sz w:val="24"/>
        </w:rPr>
      </w:pPr>
      <w:r>
        <w:rPr>
          <w:rFonts w:ascii="宋体" w:hAnsi="宋体" w:cs="宋体" w:hint="eastAsia"/>
          <w:b/>
          <w:bCs/>
          <w:sz w:val="24"/>
        </w:rPr>
        <w:t>2.2.3</w:t>
      </w:r>
      <w:r>
        <w:rPr>
          <w:rFonts w:ascii="宋体" w:hAnsi="宋体" w:cs="宋体" w:hint="eastAsia"/>
          <w:sz w:val="24"/>
        </w:rPr>
        <w:t xml:space="preserve"> 解剖大鼠  粪检出虫卵后，按先后次序解剖大鼠，分别剪下十二指肠、空肠、回肠，放入不同的培养皿中，加入适量生理盐水反复洗涤数次，在解剖镜下查找生理盐水中成虫数量并记录。</w:t>
      </w:r>
    </w:p>
    <w:p w:rsidR="006F0EE3" w:rsidRDefault="006F0EE3">
      <w:pPr>
        <w:spacing w:line="360" w:lineRule="auto"/>
        <w:rPr>
          <w:rFonts w:ascii="宋体" w:hAnsi="宋体" w:cs="宋体" w:hint="eastAsia"/>
          <w:sz w:val="24"/>
        </w:rPr>
      </w:pPr>
      <w:r>
        <w:rPr>
          <w:rFonts w:ascii="宋体" w:hAnsi="宋体" w:cs="宋体" w:hint="eastAsia"/>
          <w:b/>
          <w:bCs/>
          <w:sz w:val="24"/>
        </w:rPr>
        <w:t>2.2.4</w:t>
      </w:r>
      <w:r>
        <w:rPr>
          <w:rFonts w:ascii="宋体" w:hAnsi="宋体" w:cs="宋体" w:hint="eastAsia"/>
          <w:sz w:val="24"/>
        </w:rPr>
        <w:t xml:space="preserve"> 观察成虫  吸取活成虫置于载玻片，加少量生理盐水不经染色在光学显微镜下观察虫体的形态及运动特征。</w:t>
      </w:r>
    </w:p>
    <w:p w:rsidR="006F0EE3" w:rsidRDefault="006F0EE3">
      <w:pPr>
        <w:spacing w:line="360" w:lineRule="auto"/>
        <w:jc w:val="center"/>
        <w:rPr>
          <w:rFonts w:ascii="宋体" w:hAnsi="宋体" w:cs="宋体" w:hint="eastAsia"/>
          <w:sz w:val="24"/>
        </w:rPr>
      </w:pPr>
      <w:r>
        <w:rPr>
          <w:rFonts w:ascii="宋体" w:hAnsi="宋体" w:cs="宋体" w:hint="eastAsia"/>
          <w:b/>
          <w:bCs/>
          <w:sz w:val="24"/>
        </w:rPr>
        <w:t>结果</w:t>
      </w:r>
    </w:p>
    <w:p w:rsidR="006F0EE3" w:rsidRDefault="006F0EE3">
      <w:pPr>
        <w:spacing w:line="360" w:lineRule="auto"/>
        <w:rPr>
          <w:rFonts w:ascii="宋体" w:hAnsi="宋体" w:cs="宋体" w:hint="eastAsia"/>
          <w:b/>
          <w:bCs/>
          <w:sz w:val="24"/>
        </w:rPr>
      </w:pPr>
      <w:r>
        <w:rPr>
          <w:rFonts w:ascii="宋体" w:hAnsi="宋体" w:cs="宋体" w:hint="eastAsia"/>
          <w:b/>
          <w:bCs/>
          <w:sz w:val="24"/>
        </w:rPr>
        <w:t>1 台湾棘带吸虫囊蚴形态特征</w:t>
      </w:r>
    </w:p>
    <w:p w:rsidR="006F0EE3" w:rsidRDefault="006F0EE3">
      <w:pPr>
        <w:spacing w:line="360" w:lineRule="auto"/>
        <w:rPr>
          <w:rFonts w:ascii="宋体" w:hAnsi="宋体" w:cs="宋体" w:hint="eastAsia"/>
          <w:sz w:val="24"/>
        </w:rPr>
      </w:pPr>
      <w:r>
        <w:rPr>
          <w:rFonts w:ascii="宋体" w:hAnsi="宋体" w:cs="宋体" w:hint="eastAsia"/>
          <w:sz w:val="24"/>
        </w:rPr>
        <w:t xml:space="preserve">    在光学显微镜下，可观察到有台湾棘带吸虫囊蚴（见图1-A）。台湾棘带吸虫囊蚴呈椭圆形，大小为（0.132～0.204mm×0.105～0.168mm），囊壁厚约2um；囊内蚴虫蠕动形态多变，或与长轴一致分布(呈正态状)；口吸盘在囊蚴一端，排泄囊在另一端；或首(口)尾相接，作马蹄形蜷曲，空隙较大；口吸盘周围排列有32根头棘，呈上下两环分布</w:t>
      </w:r>
      <w:r>
        <w:rPr>
          <w:rFonts w:ascii="宋体" w:hAnsi="宋体" w:cs="宋体" w:hint="eastAsia"/>
          <w:sz w:val="24"/>
          <w:vertAlign w:val="superscript"/>
        </w:rPr>
        <w:t>[7][8]</w:t>
      </w:r>
      <w:r>
        <w:rPr>
          <w:rFonts w:ascii="宋体" w:hAnsi="宋体" w:cs="宋体" w:hint="eastAsia"/>
          <w:sz w:val="24"/>
        </w:rPr>
        <w:t>；排泄囊特征最为突出，呈黑色“工”字形</w:t>
      </w:r>
      <w:r>
        <w:rPr>
          <w:rFonts w:ascii="宋体" w:hAnsi="宋体" w:cs="宋体" w:hint="eastAsia"/>
          <w:sz w:val="24"/>
          <w:vertAlign w:val="superscript"/>
        </w:rPr>
        <w:t>[7]</w:t>
      </w:r>
      <w:r>
        <w:rPr>
          <w:rFonts w:ascii="宋体" w:hAnsi="宋体" w:cs="宋体" w:hint="eastAsia"/>
          <w:sz w:val="24"/>
        </w:rPr>
        <w:t>。</w:t>
      </w:r>
    </w:p>
    <w:p w:rsidR="006F0EE3" w:rsidRDefault="006F0EE3">
      <w:pPr>
        <w:spacing w:line="360" w:lineRule="auto"/>
        <w:rPr>
          <w:rFonts w:ascii="宋体" w:hAnsi="宋体" w:cs="宋体" w:hint="eastAsia"/>
          <w:b/>
          <w:bCs/>
          <w:sz w:val="24"/>
        </w:rPr>
      </w:pPr>
      <w:r>
        <w:rPr>
          <w:rFonts w:ascii="宋体" w:hAnsi="宋体" w:cs="宋体" w:hint="eastAsia"/>
          <w:b/>
          <w:bCs/>
          <w:sz w:val="24"/>
        </w:rPr>
        <w:t>2 不同调查点台湾棘带吸虫囊蚴感染情况</w:t>
      </w:r>
    </w:p>
    <w:p w:rsidR="006F0EE3" w:rsidRDefault="006F0EE3">
      <w:pPr>
        <w:spacing w:line="360" w:lineRule="auto"/>
        <w:ind w:firstLineChars="200" w:firstLine="480"/>
        <w:jc w:val="left"/>
        <w:rPr>
          <w:rFonts w:ascii="宋体" w:hAnsi="宋体" w:cs="宋体" w:hint="eastAsia"/>
          <w:b/>
          <w:bCs/>
          <w:sz w:val="24"/>
        </w:rPr>
      </w:pPr>
      <w:r>
        <w:rPr>
          <w:rFonts w:ascii="宋体" w:hAnsi="宋体" w:cs="宋体" w:hint="eastAsia"/>
          <w:sz w:val="24"/>
        </w:rPr>
        <w:t>广西宾阳县大桥镇和广西宾阳县王灵镇泥鳅都有感染台湾棘带吸虫，大桥镇泥鳅感染率为73.21%，感染度为1.77（个/g）；王灵镇泥鳅感染率为58.53%，感染度为5.89（个/g）；而两镇泥鳅总感染率高达67.01%，两个镇的感染率间</w:t>
      </w:r>
      <w:r>
        <w:rPr>
          <w:rFonts w:ascii="宋体" w:hAnsi="宋体" w:cs="宋体" w:hint="eastAsia"/>
          <w:bCs/>
          <w:sz w:val="24"/>
        </w:rPr>
        <w:t>差异无统计学意义（</w:t>
      </w:r>
      <w:r>
        <w:rPr>
          <w:rFonts w:ascii="宋体" w:hAnsi="宋体" w:cs="宋体" w:hint="eastAsia"/>
          <w:bCs/>
          <w:i/>
          <w:color w:val="000000"/>
          <w:sz w:val="24"/>
        </w:rPr>
        <w:t>P</w:t>
      </w:r>
      <w:r>
        <w:rPr>
          <w:rFonts w:ascii="宋体" w:hAnsi="宋体" w:cs="宋体" w:hint="eastAsia"/>
          <w:sz w:val="24"/>
        </w:rPr>
        <w:t>&gt;0.05</w:t>
      </w:r>
      <w:r>
        <w:rPr>
          <w:rFonts w:ascii="宋体" w:hAnsi="宋体" w:cs="宋体" w:hint="eastAsia"/>
          <w:bCs/>
          <w:sz w:val="24"/>
        </w:rPr>
        <w:t>）（</w:t>
      </w:r>
      <w:r>
        <w:rPr>
          <w:rFonts w:ascii="宋体" w:hAnsi="宋体" w:cs="宋体" w:hint="eastAsia"/>
          <w:sz w:val="24"/>
        </w:rPr>
        <w:t>表1）。</w:t>
      </w:r>
    </w:p>
    <w:p w:rsidR="006F0EE3" w:rsidRDefault="006F0EE3">
      <w:pPr>
        <w:spacing w:line="360" w:lineRule="auto"/>
        <w:rPr>
          <w:rFonts w:ascii="宋体" w:hAnsi="宋体" w:cs="宋体" w:hint="eastAsia"/>
          <w:bCs/>
          <w:sz w:val="24"/>
        </w:rPr>
      </w:pPr>
      <w:r>
        <w:rPr>
          <w:rFonts w:ascii="宋体" w:hAnsi="宋体" w:cs="宋体" w:hint="eastAsia"/>
          <w:b/>
          <w:bCs/>
          <w:sz w:val="24"/>
        </w:rPr>
        <w:lastRenderedPageBreak/>
        <w:t>3台湾棘带吸虫囊蚴分布情况</w:t>
      </w:r>
    </w:p>
    <w:p w:rsidR="006F0EE3" w:rsidRDefault="006F0EE3">
      <w:pPr>
        <w:autoSpaceDE w:val="0"/>
        <w:autoSpaceDN w:val="0"/>
        <w:spacing w:line="360" w:lineRule="auto"/>
        <w:rPr>
          <w:rFonts w:ascii="宋体" w:hAnsi="宋体" w:cs="宋体" w:hint="eastAsia"/>
          <w:sz w:val="24"/>
        </w:rPr>
      </w:pPr>
      <w:r>
        <w:rPr>
          <w:rFonts w:ascii="宋体" w:hAnsi="宋体" w:cs="宋体" w:hint="eastAsia"/>
          <w:sz w:val="24"/>
        </w:rPr>
        <w:t xml:space="preserve">    泥鳅的头腮部净重36.1g，检出囊蚴数为1345个；体尾部净重199.2g，检出囊蚴数为41个。其在泥鳅头腮部和身尾部囊蚴的感染度分别为37.25个/g，0.21个/g。结果提示台湾棘带吸虫囊蚴主要分布在泥鳅头腮部，体尾部分布极少。</w:t>
      </w:r>
    </w:p>
    <w:p w:rsidR="006F0EE3" w:rsidRDefault="006F0EE3">
      <w:pPr>
        <w:spacing w:line="360" w:lineRule="auto"/>
        <w:rPr>
          <w:rFonts w:ascii="宋体" w:hAnsi="宋体" w:cs="宋体" w:hint="eastAsia"/>
          <w:b/>
          <w:bCs/>
          <w:sz w:val="24"/>
        </w:rPr>
      </w:pPr>
      <w:r>
        <w:rPr>
          <w:rFonts w:ascii="宋体" w:hAnsi="宋体" w:cs="宋体" w:hint="eastAsia"/>
          <w:b/>
          <w:bCs/>
          <w:sz w:val="24"/>
        </w:rPr>
        <w:t>4 台湾棘带吸虫成虫形态特征</w:t>
      </w:r>
    </w:p>
    <w:p w:rsidR="006F0EE3" w:rsidRDefault="006F0EE3">
      <w:pPr>
        <w:autoSpaceDE w:val="0"/>
        <w:autoSpaceDN w:val="0"/>
        <w:spacing w:line="360" w:lineRule="auto"/>
        <w:rPr>
          <w:rFonts w:ascii="宋体" w:hAnsi="宋体" w:cs="宋体" w:hint="eastAsia"/>
          <w:b/>
          <w:bCs/>
          <w:sz w:val="24"/>
        </w:rPr>
      </w:pPr>
      <w:r>
        <w:rPr>
          <w:rFonts w:ascii="宋体" w:hAnsi="宋体" w:cs="宋体" w:hint="eastAsia"/>
          <w:sz w:val="24"/>
        </w:rPr>
        <w:t xml:space="preserve">    光学显微镜下可观察到台湾棘带吸虫成虫</w:t>
      </w:r>
      <w:r>
        <w:rPr>
          <w:rFonts w:ascii="宋体" w:hAnsi="宋体" w:cs="宋体" w:hint="eastAsia"/>
          <w:kern w:val="0"/>
          <w:sz w:val="24"/>
        </w:rPr>
        <w:t>呈长卵圆形、长梨形或</w:t>
      </w:r>
      <w:r>
        <w:rPr>
          <w:rFonts w:ascii="宋体" w:hAnsi="宋体" w:cs="宋体" w:hint="eastAsia"/>
          <w:sz w:val="24"/>
        </w:rPr>
        <w:t>酒瓶状，形似华支睾吸虫，体积较小，平均仅为0．46 mm×0．21 mm。虫体</w:t>
      </w:r>
      <w:r>
        <w:rPr>
          <w:rFonts w:ascii="宋体" w:hAnsi="宋体" w:cs="宋体" w:hint="eastAsia"/>
          <w:kern w:val="0"/>
          <w:sz w:val="24"/>
        </w:rPr>
        <w:t>前1／3偏窄，后2／3较宽大，末端钝圆</w:t>
      </w:r>
      <w:r>
        <w:rPr>
          <w:rFonts w:ascii="宋体" w:hAnsi="宋体" w:cs="宋体" w:hint="eastAsia"/>
          <w:color w:val="000000"/>
          <w:kern w:val="0"/>
          <w:sz w:val="24"/>
        </w:rPr>
        <w:t>。口吸盘位于顶端，周围</w:t>
      </w:r>
      <w:r>
        <w:rPr>
          <w:rFonts w:ascii="宋体" w:hAnsi="宋体" w:cs="宋体" w:hint="eastAsia"/>
          <w:sz w:val="24"/>
        </w:rPr>
        <w:t>有30</w:t>
      </w:r>
      <w:r>
        <w:rPr>
          <w:rFonts w:ascii="宋体" w:hAnsi="宋体" w:cs="宋体" w:hint="eastAsia"/>
          <w:color w:val="000000"/>
          <w:sz w:val="24"/>
        </w:rPr>
        <w:t>～</w:t>
      </w:r>
      <w:r>
        <w:rPr>
          <w:rFonts w:ascii="宋体" w:hAnsi="宋体" w:cs="宋体" w:hint="eastAsia"/>
          <w:sz w:val="24"/>
        </w:rPr>
        <w:t>36枚小棘</w:t>
      </w:r>
      <w:r>
        <w:rPr>
          <w:rFonts w:ascii="宋体" w:hAnsi="宋体" w:cs="宋体" w:hint="eastAsia"/>
          <w:color w:val="000000"/>
          <w:kern w:val="0"/>
          <w:sz w:val="24"/>
        </w:rPr>
        <w:t>；腹吸盘位于虫体中部，虫体后端有板栗形或类圆形、左右相对排列的2个睾丸。子宫位于卵巢与腹吸盘之间，其内可见20～30个排列不规则的椭圆形虫卵。观察到的成虫形态特征与前人描述基本一致</w:t>
      </w:r>
      <w:r>
        <w:rPr>
          <w:rFonts w:ascii="宋体" w:hAnsi="宋体" w:cs="宋体" w:hint="eastAsia"/>
          <w:color w:val="000000"/>
          <w:kern w:val="0"/>
          <w:sz w:val="24"/>
          <w:vertAlign w:val="superscript"/>
        </w:rPr>
        <w:t>[3、4]</w:t>
      </w:r>
      <w:r>
        <w:rPr>
          <w:rFonts w:ascii="宋体" w:hAnsi="宋体" w:cs="宋体" w:hint="eastAsia"/>
          <w:color w:val="000000"/>
          <w:kern w:val="0"/>
          <w:sz w:val="24"/>
        </w:rPr>
        <w:t>。具体形态如图：</w:t>
      </w:r>
      <w:r>
        <w:rPr>
          <w:rFonts w:ascii="宋体" w:hAnsi="宋体" w:cs="宋体" w:hint="eastAsia"/>
          <w:sz w:val="24"/>
        </w:rPr>
        <w:t xml:space="preserve">   </w:t>
      </w:r>
    </w:p>
    <w:p w:rsidR="006F0EE3" w:rsidRDefault="006F0EE3">
      <w:pPr>
        <w:autoSpaceDE w:val="0"/>
        <w:autoSpaceDN w:val="0"/>
        <w:spacing w:line="360" w:lineRule="auto"/>
        <w:rPr>
          <w:rFonts w:ascii="宋体" w:hAnsi="宋体" w:cs="宋体" w:hint="eastAsia"/>
          <w:b/>
          <w:bCs/>
          <w:sz w:val="24"/>
        </w:rPr>
      </w:pPr>
      <w:r>
        <w:rPr>
          <w:rFonts w:ascii="宋体" w:hAnsi="宋体" w:cs="宋体" w:hint="eastAsia"/>
          <w:b/>
          <w:bCs/>
          <w:sz w:val="24"/>
        </w:rPr>
        <w:t>5 检获台湾棘带吸虫成虫情况</w:t>
      </w:r>
    </w:p>
    <w:p w:rsidR="006F0EE3" w:rsidRDefault="006F0EE3">
      <w:pPr>
        <w:spacing w:line="360" w:lineRule="auto"/>
        <w:rPr>
          <w:i/>
          <w:iCs/>
          <w:sz w:val="24"/>
        </w:rPr>
      </w:pPr>
      <w:r>
        <w:rPr>
          <w:rFonts w:ascii="宋体" w:hAnsi="宋体" w:cs="宋体" w:hint="eastAsia"/>
          <w:sz w:val="24"/>
        </w:rPr>
        <w:t xml:space="preserve">    用不同数量囊蚴感染大鼠，在大鼠粪便中均可检查出虫卵，最早可在灌胃</w:t>
      </w:r>
      <w:r>
        <w:rPr>
          <w:rFonts w:ascii="宋体" w:hAnsi="宋体" w:cs="宋体" w:hint="eastAsia"/>
          <w:color w:val="000000"/>
          <w:sz w:val="24"/>
        </w:rPr>
        <w:t>6d</w:t>
      </w:r>
      <w:r>
        <w:rPr>
          <w:rFonts w:ascii="宋体" w:hAnsi="宋体" w:cs="宋体" w:hint="eastAsia"/>
          <w:sz w:val="24"/>
        </w:rPr>
        <w:t>后粪检出虫卵，10d后共感染囊蚴960个，获得成虫总数113条，</w:t>
      </w:r>
      <w:r>
        <w:rPr>
          <w:rFonts w:ascii="宋体" w:hAnsi="宋体" w:cs="宋体" w:hint="eastAsia"/>
          <w:color w:val="000000"/>
          <w:sz w:val="24"/>
        </w:rPr>
        <w:t>总平均感染成功率为11.8%，各分组间感染率差别无统计学意义（表2）。</w:t>
      </w:r>
    </w:p>
    <w:p w:rsidR="006F0EE3" w:rsidRDefault="006F0EE3">
      <w:pPr>
        <w:spacing w:line="360" w:lineRule="auto"/>
        <w:jc w:val="left"/>
        <w:rPr>
          <w:rFonts w:ascii="宋体" w:hAnsi="宋体" w:cs="宋体" w:hint="eastAsia"/>
          <w:b/>
          <w:bCs/>
          <w:color w:val="000000"/>
          <w:sz w:val="24"/>
        </w:rPr>
      </w:pPr>
      <w:r>
        <w:rPr>
          <w:rFonts w:ascii="宋体" w:hAnsi="宋体" w:cs="宋体" w:hint="eastAsia"/>
          <w:b/>
          <w:bCs/>
          <w:sz w:val="24"/>
        </w:rPr>
        <w:t xml:space="preserve">6 </w:t>
      </w:r>
      <w:r>
        <w:rPr>
          <w:rFonts w:ascii="宋体" w:hAnsi="宋体" w:cs="宋体" w:hint="eastAsia"/>
          <w:b/>
          <w:bCs/>
          <w:color w:val="000000"/>
          <w:sz w:val="24"/>
        </w:rPr>
        <w:t>台湾棘带吸虫成虫在大鼠体内分布情况</w:t>
      </w:r>
    </w:p>
    <w:p w:rsidR="006F0EE3" w:rsidRDefault="006F0EE3">
      <w:pPr>
        <w:spacing w:line="360" w:lineRule="auto"/>
        <w:ind w:firstLineChars="200" w:firstLine="480"/>
        <w:jc w:val="left"/>
        <w:rPr>
          <w:rFonts w:ascii="宋体" w:hAnsi="宋体" w:cs="宋体" w:hint="eastAsia"/>
          <w:b/>
          <w:bCs/>
          <w:sz w:val="24"/>
        </w:rPr>
      </w:pPr>
      <w:r>
        <w:rPr>
          <w:rFonts w:ascii="宋体" w:hAnsi="宋体" w:cs="宋体" w:hint="eastAsia"/>
          <w:sz w:val="24"/>
        </w:rPr>
        <w:t>粪检虫卵阳性后，解剖SD大鼠，在十二指肠、空肠、回肠都检查到成虫，比例分别为96.5%、2.7%和0.8%，结果显示台湾棘带吸虫成虫主要寄生于十二指肠，在回肠仅检出1条成虫，且已死亡</w:t>
      </w:r>
      <w:r>
        <w:rPr>
          <w:rFonts w:ascii="宋体" w:hAnsi="宋体" w:cs="宋体" w:hint="eastAsia"/>
          <w:color w:val="000000"/>
          <w:sz w:val="24"/>
        </w:rPr>
        <w:t>。</w:t>
      </w:r>
    </w:p>
    <w:p w:rsidR="006F0EE3" w:rsidRDefault="006F0EE3" w:rsidP="00DB6CFD">
      <w:pPr>
        <w:spacing w:line="360" w:lineRule="auto"/>
        <w:ind w:firstLineChars="200" w:firstLine="482"/>
        <w:jc w:val="center"/>
        <w:rPr>
          <w:rFonts w:ascii="宋体" w:hAnsi="宋体" w:cs="宋体" w:hint="eastAsia"/>
          <w:kern w:val="0"/>
          <w:sz w:val="24"/>
        </w:rPr>
      </w:pPr>
      <w:r>
        <w:rPr>
          <w:rFonts w:ascii="宋体" w:hAnsi="宋体" w:cs="宋体" w:hint="eastAsia"/>
          <w:b/>
          <w:bCs/>
          <w:sz w:val="24"/>
        </w:rPr>
        <w:t xml:space="preserve"> </w:t>
      </w:r>
      <w:r>
        <w:rPr>
          <w:rFonts w:ascii="宋体" w:hAnsi="宋体" w:cs="宋体" w:hint="eastAsia"/>
          <w:b/>
          <w:bCs/>
          <w:kern w:val="0"/>
          <w:sz w:val="24"/>
        </w:rPr>
        <w:t>讨  论</w:t>
      </w:r>
    </w:p>
    <w:p w:rsidR="006F0EE3" w:rsidRDefault="006F0EE3">
      <w:pPr>
        <w:autoSpaceDE w:val="0"/>
        <w:autoSpaceDN w:val="0"/>
        <w:adjustRightInd w:val="0"/>
        <w:spacing w:line="360" w:lineRule="auto"/>
        <w:ind w:firstLineChars="200" w:firstLine="480"/>
        <w:jc w:val="left"/>
        <w:rPr>
          <w:rFonts w:ascii="宋体" w:hAnsi="宋体" w:cs="宋体" w:hint="eastAsia"/>
          <w:sz w:val="24"/>
        </w:rPr>
      </w:pPr>
      <w:r>
        <w:rPr>
          <w:rFonts w:ascii="宋体" w:hAnsi="宋体" w:cs="宋体" w:hint="eastAsia"/>
          <w:sz w:val="24"/>
        </w:rPr>
        <w:t>台湾棘带吸虫（</w:t>
      </w:r>
      <w:r>
        <w:rPr>
          <w:rFonts w:ascii="宋体" w:hAnsi="宋体" w:cs="宋体" w:hint="eastAsia"/>
          <w:i/>
          <w:sz w:val="24"/>
        </w:rPr>
        <w:t>Centrocestus formosanus Nishigori</w:t>
      </w:r>
      <w:r>
        <w:rPr>
          <w:rFonts w:ascii="宋体" w:hAnsi="宋体" w:cs="宋体" w:hint="eastAsia"/>
          <w:sz w:val="24"/>
        </w:rPr>
        <w:t>，1924）隶于异形科棘带属，系人、畜和禽类共同的寄生虫病原，主要分布于日本、菲律宾和我国台湾、广东、福建沿海地区。</w:t>
      </w:r>
      <w:r>
        <w:rPr>
          <w:rFonts w:ascii="宋体" w:hAnsi="宋体" w:cs="宋体" w:hint="eastAsia"/>
          <w:color w:val="000000"/>
          <w:sz w:val="24"/>
        </w:rPr>
        <w:t>被称作“鳃吸虫”的台湾棘带吸虫，会感染正常鱼群，造成不可估量的经济损失</w:t>
      </w:r>
      <w:r>
        <w:rPr>
          <w:rFonts w:ascii="宋体" w:hAnsi="宋体" w:cs="宋体" w:hint="eastAsia"/>
          <w:color w:val="000000"/>
          <w:sz w:val="24"/>
          <w:vertAlign w:val="superscript"/>
        </w:rPr>
        <w:t>[12]</w:t>
      </w:r>
      <w:r>
        <w:rPr>
          <w:rFonts w:ascii="宋体" w:hAnsi="宋体" w:cs="宋体" w:hint="eastAsia"/>
          <w:color w:val="000000"/>
          <w:sz w:val="24"/>
        </w:rPr>
        <w:t>。目前</w:t>
      </w:r>
      <w:r>
        <w:rPr>
          <w:rFonts w:ascii="宋体" w:hAnsi="宋体" w:cs="宋体" w:hint="eastAsia"/>
          <w:sz w:val="24"/>
        </w:rPr>
        <w:t>在广西区内还未发现相关调查与研究，因此本调查针对广西区内台湾棘带吸虫的研究具有重要意义。</w:t>
      </w:r>
    </w:p>
    <w:p w:rsidR="006F0EE3" w:rsidRDefault="006F0EE3">
      <w:pPr>
        <w:spacing w:line="360" w:lineRule="auto"/>
        <w:ind w:firstLineChars="200" w:firstLine="480"/>
        <w:rPr>
          <w:rFonts w:ascii="宋体" w:hAnsi="宋体" w:cs="宋体" w:hint="eastAsia"/>
          <w:sz w:val="24"/>
        </w:rPr>
      </w:pPr>
      <w:r>
        <w:rPr>
          <w:rFonts w:ascii="宋体" w:hAnsi="宋体" w:cs="宋体" w:hint="eastAsia"/>
          <w:sz w:val="24"/>
        </w:rPr>
        <w:t>实验结果表明，</w:t>
      </w:r>
      <w:r>
        <w:rPr>
          <w:rFonts w:ascii="宋体" w:hAnsi="宋体" w:cs="宋体" w:hint="eastAsia"/>
          <w:color w:val="000000"/>
          <w:sz w:val="24"/>
        </w:rPr>
        <w:t>实验所获囊蚴、虫卵及成虫形态特征与国内外学者报道相符</w:t>
      </w:r>
      <w:r>
        <w:rPr>
          <w:rFonts w:ascii="宋体" w:hAnsi="宋体" w:cs="宋体" w:hint="eastAsia"/>
          <w:color w:val="000000"/>
          <w:sz w:val="24"/>
          <w:vertAlign w:val="superscript"/>
        </w:rPr>
        <w:t>[9]</w:t>
      </w:r>
      <w:r>
        <w:rPr>
          <w:rFonts w:ascii="宋体" w:hAnsi="宋体" w:cs="宋体" w:hint="eastAsia"/>
          <w:sz w:val="24"/>
        </w:rPr>
        <w:t>，从形态学基本可以确定是台湾棘带吸虫。本次调查通过对广西宾阳县泥鳅中台湾棘带吸虫囊蚴感染情况的调查与比较，发现台湾棘带吸虫囊蚴在泥鳅中具有感染率高、感染强度大以及主要寄生于头腮部等特点。说明：（一）台湾棘带吸</w:t>
      </w:r>
      <w:r>
        <w:rPr>
          <w:rFonts w:ascii="宋体" w:hAnsi="宋体" w:cs="宋体" w:hint="eastAsia"/>
          <w:sz w:val="24"/>
        </w:rPr>
        <w:lastRenderedPageBreak/>
        <w:t>虫囊蚴在泥鳅中主要寄生部位为头腮部；（二）泥鳅为台湾棘带吸虫生活史的一部分，即第二中间宿主；（三）广西区内已经有台湾棘带吸虫流行，就宾阳县的感染情况，应加强对该寄生虫的知识宣传与疾病预防。</w:t>
      </w:r>
    </w:p>
    <w:p w:rsidR="006F0EE3" w:rsidRDefault="006F0EE3">
      <w:pPr>
        <w:spacing w:line="360" w:lineRule="auto"/>
        <w:ind w:firstLineChars="200" w:firstLine="480"/>
        <w:rPr>
          <w:rFonts w:ascii="宋体" w:hAnsi="宋体" w:cs="宋体" w:hint="eastAsia"/>
          <w:color w:val="000000"/>
          <w:sz w:val="24"/>
        </w:rPr>
      </w:pPr>
      <w:r>
        <w:rPr>
          <w:rFonts w:ascii="宋体" w:hAnsi="宋体" w:cs="宋体" w:hint="eastAsia"/>
          <w:sz w:val="24"/>
        </w:rPr>
        <w:t>研究显示，国内外曾有用小白鼠、水蛇、豚鼠、家兔等进行人工感染</w:t>
      </w:r>
      <w:r>
        <w:rPr>
          <w:rFonts w:ascii="宋体" w:hAnsi="宋体" w:cs="宋体" w:hint="eastAsia"/>
          <w:sz w:val="24"/>
          <w:vertAlign w:val="superscript"/>
        </w:rPr>
        <w:t>[13]</w:t>
      </w:r>
      <w:r>
        <w:rPr>
          <w:rFonts w:ascii="宋体" w:hAnsi="宋体" w:cs="宋体" w:hint="eastAsia"/>
          <w:sz w:val="24"/>
        </w:rPr>
        <w:t>，广西尚无此类研究。本实验直接选取台湾棘带吸虫活囊蚴，按照一定数量梯度对大鼠进行灌胃，与其他动物模型建立采取用中间宿主淡水鱼类直接喂养有所不同。</w:t>
      </w:r>
      <w:r>
        <w:rPr>
          <w:rFonts w:ascii="宋体" w:hAnsi="宋体" w:cs="宋体" w:hint="eastAsia"/>
          <w:color w:val="000000"/>
          <w:sz w:val="24"/>
        </w:rPr>
        <w:t>用5～200个囊蚴感染大鼠均能感染成功，且都能在大鼠粪便中检出虫卵；对大鼠进行解剖，结果显示感染成功率即囊蚴存活率近11.8%，但检出囊蚴数量偏少；成虫检出结果不理想，个体差异大。最早可在第6天粪检出虫卵，与前人研究（第4d开始检出虫卵）略有差别。粪检过程中每张涂片只检到1～2个虫卵，开始查到虫卵后并非每天都能检出，可能由于台湾棘带吸虫成虫相当部分寄生于宿主肠绒毛深处和粘膜下层，产出的虫卵多积聚于此，少数可随粪便排出</w:t>
      </w:r>
      <w:r>
        <w:rPr>
          <w:rFonts w:ascii="宋体" w:hAnsi="宋体" w:cs="宋体" w:hint="eastAsia"/>
          <w:color w:val="000000"/>
          <w:sz w:val="24"/>
          <w:vertAlign w:val="superscript"/>
        </w:rPr>
        <w:t>[11]</w:t>
      </w:r>
      <w:r>
        <w:rPr>
          <w:rFonts w:ascii="宋体" w:hAnsi="宋体" w:cs="宋体" w:hint="eastAsia"/>
          <w:color w:val="000000"/>
          <w:sz w:val="24"/>
        </w:rPr>
        <w:t>。台湾棘带吸虫成虫共检出109条成虫，其中在十二指肠检出105条，空肠检出3条，回肠仅检出1条。回肠检出的成虫已死，据此推测是寄生在十二指肠或空肠的成虫死亡后随肠道蠕动至回肠，所以作者初步认定台湾棘口吸虫在SD大鼠消化道寄生部位主要为十二指肠。</w:t>
      </w:r>
    </w:p>
    <w:p w:rsidR="006F0EE3" w:rsidRDefault="006F0EE3">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综上所述，台湾棘带吸虫在广西区内感染报道尚属首次，且感染比率较高，需引起相关部门的重视，防止其在人、畜等终末宿主间蔓延。本次实验为探讨</w:t>
      </w:r>
      <w:r>
        <w:rPr>
          <w:rFonts w:ascii="宋体" w:hAnsi="宋体" w:cs="宋体" w:hint="eastAsia"/>
          <w:sz w:val="24"/>
        </w:rPr>
        <w:t>台湾棘带吸虫病的病理学、免疫学、药理学以及诊断治疗等方面的研究具有重要意义。</w:t>
      </w:r>
    </w:p>
    <w:p w:rsidR="006F0EE3" w:rsidRDefault="006F0EE3">
      <w:pPr>
        <w:spacing w:line="360" w:lineRule="auto"/>
        <w:rPr>
          <w:rFonts w:hint="eastAsia"/>
          <w:b/>
          <w:sz w:val="24"/>
        </w:rPr>
      </w:pPr>
    </w:p>
    <w:p w:rsidR="006F0EE3" w:rsidRDefault="006F0EE3">
      <w:pPr>
        <w:spacing w:line="360" w:lineRule="auto"/>
        <w:rPr>
          <w:rFonts w:hint="eastAsia"/>
          <w:b/>
          <w:sz w:val="24"/>
        </w:rPr>
      </w:pPr>
      <w:r>
        <w:rPr>
          <w:rFonts w:hint="eastAsia"/>
          <w:b/>
          <w:sz w:val="24"/>
        </w:rPr>
        <w:t>参考文献</w:t>
      </w:r>
    </w:p>
    <w:p w:rsidR="006F0EE3" w:rsidRDefault="006F0EE3">
      <w:pPr>
        <w:spacing w:line="360" w:lineRule="auto"/>
        <w:rPr>
          <w:sz w:val="24"/>
        </w:rPr>
      </w:pPr>
      <w:r>
        <w:rPr>
          <w:rFonts w:hint="eastAsia"/>
          <w:sz w:val="24"/>
        </w:rPr>
        <w:t xml:space="preserve">[1] </w:t>
      </w:r>
      <w:hyperlink r:id="rId6" w:history="1">
        <w:r>
          <w:rPr>
            <w:sz w:val="24"/>
          </w:rPr>
          <w:t>Arguedas Cortés D</w:t>
        </w:r>
      </w:hyperlink>
      <w:r>
        <w:rPr>
          <w:sz w:val="24"/>
        </w:rPr>
        <w:t>1</w:t>
      </w:r>
      <w:r>
        <w:rPr>
          <w:rFonts w:hint="eastAsia"/>
          <w:sz w:val="24"/>
        </w:rPr>
        <w:t>，</w:t>
      </w:r>
      <w:hyperlink r:id="rId7" w:history="1">
        <w:r>
          <w:rPr>
            <w:sz w:val="24"/>
          </w:rPr>
          <w:t>Dolz G</w:t>
        </w:r>
      </w:hyperlink>
      <w:r>
        <w:rPr>
          <w:rFonts w:hint="eastAsia"/>
          <w:sz w:val="24"/>
        </w:rPr>
        <w:t>，</w:t>
      </w:r>
      <w:hyperlink r:id="rId8" w:history="1">
        <w:r>
          <w:rPr>
            <w:sz w:val="24"/>
          </w:rPr>
          <w:t>Romero Zúñiga JJ</w:t>
        </w:r>
      </w:hyperlink>
      <w:r>
        <w:rPr>
          <w:rFonts w:hint="eastAsia"/>
          <w:sz w:val="24"/>
        </w:rPr>
        <w:t>，</w:t>
      </w:r>
      <w:r>
        <w:rPr>
          <w:rFonts w:hint="eastAsia"/>
          <w:sz w:val="24"/>
        </w:rPr>
        <w:t>et al.</w:t>
      </w:r>
      <w:r>
        <w:rPr>
          <w:sz w:val="24"/>
        </w:rPr>
        <w:t>Centrocestus formosanus (Opisthorchiida: Heterophyidae) as a cause of death in gray tilapia fry Oreochromis niloticus (Perciforme: Cichlidae) in the dry Pacific of Costa Rica</w:t>
      </w:r>
      <w:r>
        <w:rPr>
          <w:rFonts w:hint="eastAsia"/>
          <w:sz w:val="24"/>
        </w:rPr>
        <w:t>[J].</w:t>
      </w:r>
      <w:r>
        <w:rPr>
          <w:sz w:val="24"/>
        </w:rPr>
        <w:t>Rev Biol Trop</w:t>
      </w:r>
      <w:r>
        <w:rPr>
          <w:sz w:val="24"/>
        </w:rPr>
        <w:t>，</w:t>
      </w:r>
      <w:r>
        <w:rPr>
          <w:sz w:val="24"/>
        </w:rPr>
        <w:t>2010</w:t>
      </w:r>
      <w:r>
        <w:rPr>
          <w:sz w:val="24"/>
        </w:rPr>
        <w:t>，</w:t>
      </w:r>
      <w:r>
        <w:rPr>
          <w:sz w:val="24"/>
        </w:rPr>
        <w:t>58</w:t>
      </w:r>
      <w:r>
        <w:rPr>
          <w:sz w:val="24"/>
        </w:rPr>
        <w:t>（</w:t>
      </w:r>
      <w:r>
        <w:rPr>
          <w:sz w:val="24"/>
        </w:rPr>
        <w:t>4</w:t>
      </w:r>
      <w:r>
        <w:rPr>
          <w:sz w:val="24"/>
        </w:rPr>
        <w:t>）：</w:t>
      </w:r>
      <w:r>
        <w:rPr>
          <w:sz w:val="24"/>
        </w:rPr>
        <w:t>1453</w:t>
      </w:r>
      <w:r>
        <w:rPr>
          <w:rFonts w:hint="eastAsia"/>
          <w:sz w:val="24"/>
        </w:rPr>
        <w:t>-</w:t>
      </w:r>
      <w:r>
        <w:rPr>
          <w:sz w:val="24"/>
        </w:rPr>
        <w:t>65.</w:t>
      </w:r>
    </w:p>
    <w:p w:rsidR="006F0EE3" w:rsidRDefault="006F0EE3">
      <w:pPr>
        <w:spacing w:line="360" w:lineRule="auto"/>
        <w:rPr>
          <w:sz w:val="24"/>
        </w:rPr>
      </w:pPr>
      <w:r>
        <w:rPr>
          <w:sz w:val="24"/>
        </w:rPr>
        <w:t>[2]</w:t>
      </w:r>
      <w:r>
        <w:rPr>
          <w:rFonts w:hint="eastAsia"/>
          <w:sz w:val="24"/>
        </w:rPr>
        <w:t xml:space="preserve"> </w:t>
      </w:r>
      <w:hyperlink r:id="rId9" w:history="1">
        <w:r>
          <w:rPr>
            <w:sz w:val="24"/>
          </w:rPr>
          <w:t>Fried B</w:t>
        </w:r>
      </w:hyperlink>
      <w:r>
        <w:rPr>
          <w:sz w:val="24"/>
        </w:rPr>
        <w:t>1</w:t>
      </w:r>
      <w:r>
        <w:rPr>
          <w:rFonts w:hint="eastAsia"/>
          <w:sz w:val="24"/>
        </w:rPr>
        <w:t>，</w:t>
      </w:r>
      <w:hyperlink r:id="rId10" w:history="1">
        <w:r>
          <w:rPr>
            <w:sz w:val="24"/>
          </w:rPr>
          <w:t>Graczyk TK</w:t>
        </w:r>
      </w:hyperlink>
      <w:r>
        <w:rPr>
          <w:rFonts w:hint="eastAsia"/>
          <w:sz w:val="24"/>
        </w:rPr>
        <w:t>，</w:t>
      </w:r>
      <w:hyperlink r:id="rId11" w:history="1">
        <w:r>
          <w:rPr>
            <w:sz w:val="24"/>
          </w:rPr>
          <w:t>Tamang L</w:t>
        </w:r>
      </w:hyperlink>
      <w:r>
        <w:rPr>
          <w:sz w:val="24"/>
        </w:rPr>
        <w:t>.Food</w:t>
      </w:r>
      <w:r>
        <w:rPr>
          <w:rFonts w:hint="eastAsia"/>
          <w:sz w:val="24"/>
        </w:rPr>
        <w:t>-</w:t>
      </w:r>
      <w:r>
        <w:rPr>
          <w:sz w:val="24"/>
        </w:rPr>
        <w:t>borne intestinal trematodiases in humans</w:t>
      </w:r>
      <w:r>
        <w:rPr>
          <w:rFonts w:hint="eastAsia"/>
          <w:sz w:val="24"/>
        </w:rPr>
        <w:t>[J]</w:t>
      </w:r>
      <w:r>
        <w:rPr>
          <w:sz w:val="24"/>
        </w:rPr>
        <w:t>.Parasitol Res</w:t>
      </w:r>
      <w:r>
        <w:rPr>
          <w:rFonts w:hint="eastAsia"/>
          <w:sz w:val="24"/>
        </w:rPr>
        <w:t>，</w:t>
      </w:r>
      <w:r>
        <w:rPr>
          <w:sz w:val="24"/>
        </w:rPr>
        <w:t>2004</w:t>
      </w:r>
      <w:r>
        <w:rPr>
          <w:rFonts w:hint="eastAsia"/>
          <w:sz w:val="24"/>
        </w:rPr>
        <w:t>，</w:t>
      </w:r>
      <w:r>
        <w:rPr>
          <w:sz w:val="24"/>
        </w:rPr>
        <w:t>93(2):159</w:t>
      </w:r>
      <w:r>
        <w:rPr>
          <w:rFonts w:hint="eastAsia"/>
          <w:sz w:val="24"/>
        </w:rPr>
        <w:t>-</w:t>
      </w:r>
      <w:r>
        <w:rPr>
          <w:sz w:val="24"/>
        </w:rPr>
        <w:t>70.</w:t>
      </w:r>
    </w:p>
    <w:p w:rsidR="006F0EE3" w:rsidRDefault="006F0EE3">
      <w:pPr>
        <w:spacing w:line="360" w:lineRule="auto"/>
        <w:rPr>
          <w:sz w:val="24"/>
        </w:rPr>
      </w:pPr>
      <w:r>
        <w:rPr>
          <w:rFonts w:hint="eastAsia"/>
          <w:sz w:val="24"/>
        </w:rPr>
        <w:t xml:space="preserve">[3] </w:t>
      </w:r>
      <w:hyperlink r:id="rId12" w:history="1">
        <w:r>
          <w:rPr>
            <w:sz w:val="24"/>
          </w:rPr>
          <w:t>dos Santos EG</w:t>
        </w:r>
      </w:hyperlink>
      <w:r>
        <w:rPr>
          <w:sz w:val="24"/>
        </w:rPr>
        <w:t>1</w:t>
      </w:r>
      <w:r>
        <w:rPr>
          <w:rFonts w:hint="eastAsia"/>
          <w:sz w:val="24"/>
        </w:rPr>
        <w:t>，</w:t>
      </w:r>
      <w:hyperlink r:id="rId13" w:history="1">
        <w:r>
          <w:rPr>
            <w:sz w:val="24"/>
          </w:rPr>
          <w:t>Costa Vda S</w:t>
        </w:r>
      </w:hyperlink>
      <w:r>
        <w:rPr>
          <w:rFonts w:hint="eastAsia"/>
          <w:sz w:val="24"/>
        </w:rPr>
        <w:t>，</w:t>
      </w:r>
      <w:hyperlink r:id="rId14" w:history="1">
        <w:r>
          <w:rPr>
            <w:sz w:val="24"/>
          </w:rPr>
          <w:t>Santos CP</w:t>
        </w:r>
      </w:hyperlink>
      <w:r>
        <w:rPr>
          <w:sz w:val="24"/>
        </w:rPr>
        <w:t>.Does the trematode Centrocestus formosanus affect the locomotory activity of the mollusc Melanoides</w:t>
      </w:r>
      <w:r>
        <w:rPr>
          <w:rFonts w:hint="eastAsia"/>
          <w:sz w:val="24"/>
        </w:rPr>
        <w:t xml:space="preserve"> </w:t>
      </w:r>
      <w:r>
        <w:rPr>
          <w:sz w:val="24"/>
        </w:rPr>
        <w:lastRenderedPageBreak/>
        <w:t>tuberculatus?</w:t>
      </w:r>
      <w:r>
        <w:rPr>
          <w:rFonts w:hint="eastAsia"/>
          <w:sz w:val="24"/>
        </w:rPr>
        <w:t>[J].</w:t>
      </w:r>
      <w:r>
        <w:rPr>
          <w:sz w:val="24"/>
        </w:rPr>
        <w:t>Parasit Vectors</w:t>
      </w:r>
      <w:r>
        <w:rPr>
          <w:rFonts w:hint="eastAsia"/>
          <w:sz w:val="24"/>
        </w:rPr>
        <w:t>，</w:t>
      </w:r>
      <w:r>
        <w:rPr>
          <w:sz w:val="24"/>
        </w:rPr>
        <w:t>2013</w:t>
      </w:r>
      <w:r>
        <w:rPr>
          <w:rFonts w:hint="eastAsia"/>
          <w:sz w:val="24"/>
        </w:rPr>
        <w:t>，</w:t>
      </w:r>
      <w:r>
        <w:rPr>
          <w:rFonts w:hint="eastAsia"/>
          <w:sz w:val="24"/>
        </w:rPr>
        <w:t>10</w:t>
      </w:r>
      <w:r>
        <w:rPr>
          <w:rFonts w:hint="eastAsia"/>
          <w:sz w:val="24"/>
        </w:rPr>
        <w:t>（</w:t>
      </w:r>
      <w:r>
        <w:rPr>
          <w:rFonts w:hint="eastAsia"/>
          <w:sz w:val="24"/>
        </w:rPr>
        <w:t>6</w:t>
      </w:r>
      <w:r>
        <w:rPr>
          <w:rFonts w:hint="eastAsia"/>
          <w:sz w:val="24"/>
        </w:rPr>
        <w:t>）：</w:t>
      </w:r>
      <w:r>
        <w:rPr>
          <w:rFonts w:hint="eastAsia"/>
          <w:sz w:val="24"/>
        </w:rPr>
        <w:t>92.</w:t>
      </w:r>
    </w:p>
    <w:p w:rsidR="006F0EE3" w:rsidRDefault="006F0EE3">
      <w:pPr>
        <w:spacing w:line="360" w:lineRule="auto"/>
        <w:rPr>
          <w:sz w:val="24"/>
        </w:rPr>
      </w:pPr>
      <w:r>
        <w:rPr>
          <w:sz w:val="24"/>
        </w:rPr>
        <w:t>[</w:t>
      </w:r>
      <w:r>
        <w:rPr>
          <w:rFonts w:hint="eastAsia"/>
          <w:sz w:val="24"/>
        </w:rPr>
        <w:t>4</w:t>
      </w:r>
      <w:r>
        <w:rPr>
          <w:sz w:val="24"/>
        </w:rPr>
        <w:t>]</w:t>
      </w:r>
      <w:r>
        <w:rPr>
          <w:rFonts w:hint="eastAsia"/>
          <w:sz w:val="24"/>
        </w:rPr>
        <w:t xml:space="preserve"> </w:t>
      </w:r>
      <w:r>
        <w:rPr>
          <w:sz w:val="24"/>
        </w:rPr>
        <w:t xml:space="preserve">TOMÁŠ SCHOLZ </w:t>
      </w:r>
      <w:hyperlink r:id="rId15" w:history="1">
        <w:r>
          <w:rPr>
            <w:sz w:val="24"/>
          </w:rPr>
          <w:t>1</w:t>
        </w:r>
      </w:hyperlink>
      <w:hyperlink r:id="rId16" w:history="1">
        <w:r>
          <w:rPr>
            <w:sz w:val="24"/>
          </w:rPr>
          <w:t>a</w:t>
        </w:r>
      </w:hyperlink>
      <w:r>
        <w:rPr>
          <w:rFonts w:hint="eastAsia"/>
          <w:sz w:val="24"/>
        </w:rPr>
        <w:t>，</w:t>
      </w:r>
      <w:r>
        <w:rPr>
          <w:sz w:val="24"/>
        </w:rPr>
        <w:t>GUILLERMO SALGADO</w:t>
      </w:r>
      <w:r>
        <w:rPr>
          <w:rFonts w:hint="eastAsia"/>
          <w:sz w:val="24"/>
        </w:rPr>
        <w:t>-</w:t>
      </w:r>
      <w:r>
        <w:rPr>
          <w:sz w:val="24"/>
        </w:rPr>
        <w:t>MALDONADO</w:t>
      </w:r>
      <w:r>
        <w:rPr>
          <w:rFonts w:hint="eastAsia"/>
          <w:sz w:val="24"/>
        </w:rPr>
        <w:t>.</w:t>
      </w:r>
      <w:r>
        <w:rPr>
          <w:sz w:val="24"/>
        </w:rPr>
        <w:t xml:space="preserve"> The Introduction and Dispersal of Centrocestus formosanus (Nishigori</w:t>
      </w:r>
      <w:r>
        <w:rPr>
          <w:rFonts w:hint="eastAsia"/>
          <w:sz w:val="24"/>
        </w:rPr>
        <w:t>，</w:t>
      </w:r>
      <w:r>
        <w:rPr>
          <w:sz w:val="24"/>
        </w:rPr>
        <w:t xml:space="preserve"> 1924) (Digenea: Heterophyidae) in Mexico: A Review</w:t>
      </w:r>
      <w:r>
        <w:rPr>
          <w:rFonts w:hint="eastAsia"/>
          <w:sz w:val="24"/>
        </w:rPr>
        <w:t>[J].</w:t>
      </w:r>
      <w:r>
        <w:rPr>
          <w:sz w:val="24"/>
        </w:rPr>
        <w:t xml:space="preserve">The American Midland Naturalist </w:t>
      </w:r>
      <w:r>
        <w:rPr>
          <w:rFonts w:hint="eastAsia"/>
          <w:sz w:val="24"/>
        </w:rPr>
        <w:t>，</w:t>
      </w:r>
      <w:r>
        <w:rPr>
          <w:sz w:val="24"/>
        </w:rPr>
        <w:t>2000</w:t>
      </w:r>
      <w:r>
        <w:rPr>
          <w:rFonts w:hint="eastAsia"/>
          <w:sz w:val="24"/>
        </w:rPr>
        <w:t>，</w:t>
      </w:r>
      <w:hyperlink r:id="rId17" w:history="1"/>
    </w:p>
    <w:p w:rsidR="006F0EE3" w:rsidRDefault="006F0EE3">
      <w:pPr>
        <w:spacing w:line="360" w:lineRule="auto"/>
        <w:rPr>
          <w:sz w:val="24"/>
        </w:rPr>
      </w:pPr>
      <w:r>
        <w:rPr>
          <w:sz w:val="24"/>
        </w:rPr>
        <w:t>143(1):185</w:t>
      </w:r>
      <w:r>
        <w:rPr>
          <w:rFonts w:hint="eastAsia"/>
          <w:sz w:val="24"/>
        </w:rPr>
        <w:t>-</w:t>
      </w:r>
      <w:r>
        <w:rPr>
          <w:sz w:val="24"/>
        </w:rPr>
        <w:t xml:space="preserve">200. </w:t>
      </w:r>
    </w:p>
    <w:p w:rsidR="006F0EE3" w:rsidRDefault="006F0EE3">
      <w:pPr>
        <w:spacing w:line="360" w:lineRule="auto"/>
        <w:rPr>
          <w:sz w:val="24"/>
        </w:rPr>
      </w:pPr>
      <w:r>
        <w:rPr>
          <w:sz w:val="24"/>
        </w:rPr>
        <w:t>[</w:t>
      </w:r>
      <w:r>
        <w:rPr>
          <w:rFonts w:hint="eastAsia"/>
          <w:sz w:val="24"/>
        </w:rPr>
        <w:t>5</w:t>
      </w:r>
      <w:r>
        <w:rPr>
          <w:sz w:val="24"/>
        </w:rPr>
        <w:t>]</w:t>
      </w:r>
      <w:r>
        <w:rPr>
          <w:rFonts w:hint="eastAsia"/>
          <w:sz w:val="24"/>
        </w:rPr>
        <w:t xml:space="preserve"> </w:t>
      </w:r>
      <w:hyperlink r:id="rId18" w:history="1">
        <w:r>
          <w:rPr>
            <w:sz w:val="24"/>
          </w:rPr>
          <w:t>Pinto HA</w:t>
        </w:r>
      </w:hyperlink>
      <w:r>
        <w:rPr>
          <w:sz w:val="24"/>
        </w:rPr>
        <w:t>1</w:t>
      </w:r>
      <w:r>
        <w:rPr>
          <w:rFonts w:hint="eastAsia"/>
          <w:sz w:val="24"/>
        </w:rPr>
        <w:t>，</w:t>
      </w:r>
      <w:r>
        <w:rPr>
          <w:sz w:val="24"/>
        </w:rPr>
        <w:t xml:space="preserve"> </w:t>
      </w:r>
      <w:hyperlink r:id="rId19" w:history="1">
        <w:r>
          <w:rPr>
            <w:sz w:val="24"/>
          </w:rPr>
          <w:t>de Melo AL</w:t>
        </w:r>
      </w:hyperlink>
      <w:r>
        <w:rPr>
          <w:sz w:val="24"/>
        </w:rPr>
        <w:t>.Metacercariae of Centrocestus formosanus (Trematoda: Heterophyidae) in Australoheros facetus (Pisces: Cichlidae) in Brazil</w:t>
      </w:r>
      <w:r>
        <w:rPr>
          <w:rFonts w:hint="eastAsia"/>
          <w:sz w:val="24"/>
        </w:rPr>
        <w:t>[J]</w:t>
      </w:r>
      <w:r>
        <w:rPr>
          <w:sz w:val="24"/>
        </w:rPr>
        <w:t>.Rev Bras Parasitol Ve</w:t>
      </w:r>
      <w:r>
        <w:rPr>
          <w:rFonts w:hint="eastAsia"/>
          <w:sz w:val="24"/>
        </w:rPr>
        <w:t>，</w:t>
      </w:r>
      <w:r>
        <w:rPr>
          <w:sz w:val="24"/>
        </w:rPr>
        <w:t>2012</w:t>
      </w:r>
      <w:r>
        <w:rPr>
          <w:rFonts w:hint="eastAsia"/>
          <w:sz w:val="24"/>
        </w:rPr>
        <w:t>，</w:t>
      </w:r>
      <w:r>
        <w:rPr>
          <w:sz w:val="24"/>
        </w:rPr>
        <w:t>21(3):334</w:t>
      </w:r>
      <w:r>
        <w:rPr>
          <w:rFonts w:hint="eastAsia"/>
          <w:sz w:val="24"/>
        </w:rPr>
        <w:t>-</w:t>
      </w:r>
      <w:r>
        <w:rPr>
          <w:sz w:val="24"/>
        </w:rPr>
        <w:t>7.</w:t>
      </w:r>
    </w:p>
    <w:p w:rsidR="006F0EE3" w:rsidRDefault="006F0EE3">
      <w:pPr>
        <w:spacing w:line="360" w:lineRule="auto"/>
        <w:rPr>
          <w:sz w:val="24"/>
        </w:rPr>
      </w:pPr>
      <w:r>
        <w:rPr>
          <w:sz w:val="24"/>
        </w:rPr>
        <w:t>[</w:t>
      </w:r>
      <w:r>
        <w:rPr>
          <w:rFonts w:hint="eastAsia"/>
          <w:sz w:val="24"/>
        </w:rPr>
        <w:t>6</w:t>
      </w:r>
      <w:r>
        <w:rPr>
          <w:sz w:val="24"/>
        </w:rPr>
        <w:t>]</w:t>
      </w:r>
      <w:r>
        <w:rPr>
          <w:rFonts w:hint="eastAsia"/>
          <w:sz w:val="24"/>
        </w:rPr>
        <w:t xml:space="preserve"> </w:t>
      </w:r>
      <w:r>
        <w:rPr>
          <w:sz w:val="24"/>
        </w:rPr>
        <w:t>Pinto HA</w:t>
      </w:r>
      <w:r>
        <w:rPr>
          <w:rFonts w:hint="eastAsia"/>
          <w:sz w:val="24"/>
        </w:rPr>
        <w:t>，</w:t>
      </w:r>
      <w:r>
        <w:rPr>
          <w:sz w:val="24"/>
        </w:rPr>
        <w:t xml:space="preserve"> Melo AL. A checklist of trematodes (Platyhelminthes) transmitted by Melanoides tuberculata (Mollusca: Thiaridae)</w:t>
      </w:r>
      <w:r>
        <w:rPr>
          <w:rFonts w:hint="eastAsia"/>
          <w:sz w:val="24"/>
        </w:rPr>
        <w:t>[J]</w:t>
      </w:r>
      <w:r>
        <w:rPr>
          <w:sz w:val="24"/>
        </w:rPr>
        <w:t>. Zootaxa</w:t>
      </w:r>
      <w:r>
        <w:rPr>
          <w:rFonts w:hint="eastAsia"/>
          <w:sz w:val="24"/>
        </w:rPr>
        <w:t>，</w:t>
      </w:r>
      <w:r>
        <w:rPr>
          <w:sz w:val="24"/>
        </w:rPr>
        <w:t>2011</w:t>
      </w:r>
      <w:r>
        <w:rPr>
          <w:rFonts w:hint="eastAsia"/>
          <w:sz w:val="24"/>
        </w:rPr>
        <w:t>，</w:t>
      </w:r>
      <w:r>
        <w:rPr>
          <w:sz w:val="24"/>
        </w:rPr>
        <w:t>2799:15</w:t>
      </w:r>
      <w:r>
        <w:rPr>
          <w:rFonts w:hint="eastAsia"/>
          <w:sz w:val="24"/>
        </w:rPr>
        <w:t>-</w:t>
      </w:r>
      <w:r>
        <w:rPr>
          <w:sz w:val="24"/>
        </w:rPr>
        <w:t xml:space="preserve">28. </w:t>
      </w:r>
    </w:p>
    <w:p w:rsidR="006F0EE3" w:rsidRDefault="006F0EE3">
      <w:pPr>
        <w:spacing w:line="360" w:lineRule="auto"/>
        <w:rPr>
          <w:sz w:val="24"/>
        </w:rPr>
      </w:pPr>
      <w:r>
        <w:rPr>
          <w:rFonts w:hint="eastAsia"/>
          <w:sz w:val="24"/>
        </w:rPr>
        <w:t xml:space="preserve">[7] </w:t>
      </w:r>
      <w:r>
        <w:rPr>
          <w:rFonts w:hint="eastAsia"/>
          <w:sz w:val="24"/>
        </w:rPr>
        <w:t>程由注</w:t>
      </w:r>
      <w:r>
        <w:rPr>
          <w:rFonts w:hint="eastAsia"/>
          <w:sz w:val="24"/>
        </w:rPr>
        <w:t>.</w:t>
      </w:r>
      <w:r>
        <w:rPr>
          <w:rFonts w:hint="eastAsia"/>
          <w:sz w:val="24"/>
        </w:rPr>
        <w:t>等</w:t>
      </w:r>
      <w:r>
        <w:rPr>
          <w:rFonts w:hint="eastAsia"/>
          <w:sz w:val="24"/>
        </w:rPr>
        <w:t>.</w:t>
      </w:r>
      <w:r>
        <w:rPr>
          <w:rFonts w:hint="eastAsia"/>
          <w:sz w:val="24"/>
        </w:rPr>
        <w:t>福建诏安县台湾棘带吸虫初步研究</w:t>
      </w:r>
      <w:r>
        <w:rPr>
          <w:rFonts w:hint="eastAsia"/>
          <w:sz w:val="24"/>
        </w:rPr>
        <w:t>[J].</w:t>
      </w:r>
      <w:r>
        <w:rPr>
          <w:rFonts w:hint="eastAsia"/>
          <w:sz w:val="24"/>
        </w:rPr>
        <w:t>武夷科学，</w:t>
      </w:r>
      <w:r>
        <w:rPr>
          <w:sz w:val="24"/>
        </w:rPr>
        <w:t>1986</w:t>
      </w:r>
      <w:r>
        <w:rPr>
          <w:rFonts w:hint="eastAsia"/>
          <w:sz w:val="24"/>
        </w:rPr>
        <w:t>，</w:t>
      </w:r>
      <w:r>
        <w:rPr>
          <w:sz w:val="24"/>
        </w:rPr>
        <w:t>6</w:t>
      </w:r>
      <w:r>
        <w:rPr>
          <w:rFonts w:hint="eastAsia"/>
          <w:sz w:val="24"/>
        </w:rPr>
        <w:t>：</w:t>
      </w:r>
      <w:r>
        <w:rPr>
          <w:sz w:val="24"/>
        </w:rPr>
        <w:t>177</w:t>
      </w:r>
      <w:r>
        <w:rPr>
          <w:rFonts w:hint="eastAsia"/>
          <w:sz w:val="24"/>
        </w:rPr>
        <w:t>.</w:t>
      </w:r>
    </w:p>
    <w:p w:rsidR="006F0EE3" w:rsidRDefault="006F0EE3">
      <w:pPr>
        <w:spacing w:line="360" w:lineRule="auto"/>
        <w:rPr>
          <w:rFonts w:hint="eastAsia"/>
          <w:sz w:val="24"/>
        </w:rPr>
      </w:pPr>
      <w:r>
        <w:rPr>
          <w:rFonts w:hint="eastAsia"/>
          <w:sz w:val="24"/>
        </w:rPr>
        <w:t xml:space="preserve">[8 ] </w:t>
      </w:r>
      <w:r>
        <w:rPr>
          <w:rFonts w:hint="eastAsia"/>
          <w:sz w:val="24"/>
        </w:rPr>
        <w:t>程由注，许国防</w:t>
      </w:r>
      <w:r>
        <w:rPr>
          <w:rFonts w:hint="eastAsia"/>
          <w:sz w:val="24"/>
        </w:rPr>
        <w:t>.</w:t>
      </w:r>
      <w:r>
        <w:rPr>
          <w:rFonts w:hint="eastAsia"/>
          <w:sz w:val="24"/>
        </w:rPr>
        <w:t>台湾棘带吸虫生物学及流行病学研究</w:t>
      </w:r>
      <w:r>
        <w:rPr>
          <w:rFonts w:hint="eastAsia"/>
          <w:sz w:val="24"/>
        </w:rPr>
        <w:t>[J].</w:t>
      </w:r>
      <w:r>
        <w:rPr>
          <w:rFonts w:hint="eastAsia"/>
          <w:sz w:val="24"/>
        </w:rPr>
        <w:t>海峡预防医学杂志，</w:t>
      </w:r>
      <w:r>
        <w:rPr>
          <w:rFonts w:hint="eastAsia"/>
          <w:sz w:val="24"/>
        </w:rPr>
        <w:t>1996</w:t>
      </w:r>
      <w:r>
        <w:rPr>
          <w:rFonts w:hint="eastAsia"/>
          <w:sz w:val="24"/>
        </w:rPr>
        <w:t>，</w:t>
      </w:r>
      <w:r>
        <w:rPr>
          <w:rFonts w:hint="eastAsia"/>
          <w:sz w:val="24"/>
        </w:rPr>
        <w:t>2</w:t>
      </w:r>
      <w:r>
        <w:rPr>
          <w:rFonts w:hint="eastAsia"/>
          <w:sz w:val="24"/>
        </w:rPr>
        <w:t>（</w:t>
      </w:r>
      <w:r>
        <w:rPr>
          <w:rFonts w:hint="eastAsia"/>
          <w:sz w:val="24"/>
        </w:rPr>
        <w:t>1</w:t>
      </w:r>
      <w:r>
        <w:rPr>
          <w:rFonts w:hint="eastAsia"/>
          <w:sz w:val="24"/>
        </w:rPr>
        <w:t>）：</w:t>
      </w:r>
      <w:r>
        <w:rPr>
          <w:sz w:val="24"/>
        </w:rPr>
        <w:t>8</w:t>
      </w:r>
      <w:r>
        <w:rPr>
          <w:rFonts w:hint="eastAsia"/>
          <w:sz w:val="24"/>
        </w:rPr>
        <w:t>-</w:t>
      </w:r>
      <w:r>
        <w:rPr>
          <w:sz w:val="24"/>
        </w:rPr>
        <w:t>10</w:t>
      </w:r>
      <w:r>
        <w:rPr>
          <w:rFonts w:hint="eastAsia"/>
          <w:sz w:val="24"/>
        </w:rPr>
        <w:t>.</w:t>
      </w:r>
    </w:p>
    <w:p w:rsidR="006F0EE3" w:rsidRDefault="006F0EE3">
      <w:pPr>
        <w:spacing w:line="360" w:lineRule="auto"/>
        <w:rPr>
          <w:rFonts w:hint="eastAsia"/>
          <w:sz w:val="24"/>
        </w:rPr>
      </w:pPr>
      <w:r>
        <w:rPr>
          <w:rFonts w:hint="eastAsia"/>
          <w:sz w:val="24"/>
        </w:rPr>
        <w:t xml:space="preserve">[ 9] </w:t>
      </w:r>
      <w:r>
        <w:rPr>
          <w:rFonts w:hint="eastAsia"/>
          <w:sz w:val="24"/>
        </w:rPr>
        <w:t>何刚，韦美璧</w:t>
      </w:r>
      <w:r>
        <w:rPr>
          <w:rFonts w:hint="eastAsia"/>
          <w:sz w:val="24"/>
        </w:rPr>
        <w:t xml:space="preserve">. </w:t>
      </w:r>
      <w:r>
        <w:rPr>
          <w:rFonts w:hint="eastAsia"/>
          <w:sz w:val="24"/>
        </w:rPr>
        <w:t>广西发现台湾棘带吸虫感染一例</w:t>
      </w:r>
      <w:r>
        <w:rPr>
          <w:rFonts w:hint="eastAsia"/>
          <w:sz w:val="24"/>
        </w:rPr>
        <w:t>[J].</w:t>
      </w:r>
      <w:r>
        <w:rPr>
          <w:rFonts w:hint="eastAsia"/>
          <w:sz w:val="24"/>
        </w:rPr>
        <w:t>广西预防医学，</w:t>
      </w:r>
      <w:r>
        <w:rPr>
          <w:rFonts w:hint="eastAsia"/>
          <w:sz w:val="24"/>
        </w:rPr>
        <w:t>1995</w:t>
      </w:r>
      <w:r>
        <w:rPr>
          <w:rFonts w:hint="eastAsia"/>
          <w:sz w:val="24"/>
        </w:rPr>
        <w:t>，</w:t>
      </w:r>
      <w:r>
        <w:rPr>
          <w:rFonts w:hint="eastAsia"/>
          <w:sz w:val="24"/>
        </w:rPr>
        <w:t>1</w:t>
      </w:r>
      <w:r>
        <w:rPr>
          <w:rFonts w:hint="eastAsia"/>
          <w:sz w:val="24"/>
        </w:rPr>
        <w:t>（</w:t>
      </w:r>
      <w:r>
        <w:rPr>
          <w:rFonts w:hint="eastAsia"/>
          <w:sz w:val="24"/>
        </w:rPr>
        <w:t>4</w:t>
      </w:r>
      <w:r>
        <w:rPr>
          <w:rFonts w:hint="eastAsia"/>
          <w:sz w:val="24"/>
        </w:rPr>
        <w:t>）：</w:t>
      </w:r>
      <w:r>
        <w:rPr>
          <w:sz w:val="24"/>
        </w:rPr>
        <w:t>259</w:t>
      </w:r>
      <w:r>
        <w:rPr>
          <w:rFonts w:hint="eastAsia"/>
          <w:sz w:val="24"/>
        </w:rPr>
        <w:t>-</w:t>
      </w:r>
      <w:r>
        <w:rPr>
          <w:sz w:val="24"/>
        </w:rPr>
        <w:t>260</w:t>
      </w:r>
      <w:r>
        <w:rPr>
          <w:rFonts w:hint="eastAsia"/>
          <w:sz w:val="24"/>
        </w:rPr>
        <w:t>.</w:t>
      </w:r>
    </w:p>
    <w:p w:rsidR="006F0EE3" w:rsidRDefault="006F0EE3">
      <w:pPr>
        <w:spacing w:line="360" w:lineRule="auto"/>
        <w:rPr>
          <w:rFonts w:hint="eastAsia"/>
          <w:sz w:val="24"/>
        </w:rPr>
      </w:pPr>
      <w:r>
        <w:rPr>
          <w:rFonts w:hint="eastAsia"/>
          <w:sz w:val="24"/>
        </w:rPr>
        <w:t xml:space="preserve">[10] </w:t>
      </w:r>
      <w:r>
        <w:rPr>
          <w:rFonts w:hint="eastAsia"/>
          <w:sz w:val="24"/>
        </w:rPr>
        <w:t>刘莹，钱程，刘登宇，等</w:t>
      </w:r>
      <w:r>
        <w:rPr>
          <w:rFonts w:hint="eastAsia"/>
          <w:sz w:val="24"/>
        </w:rPr>
        <w:t>.180</w:t>
      </w:r>
      <w:r>
        <w:rPr>
          <w:rFonts w:hint="eastAsia"/>
          <w:sz w:val="24"/>
        </w:rPr>
        <w:t>例就诊者人芽囊原虫的感染情况调查</w:t>
      </w:r>
      <w:r>
        <w:rPr>
          <w:rFonts w:hint="eastAsia"/>
          <w:sz w:val="24"/>
        </w:rPr>
        <w:t>[J].</w:t>
      </w:r>
      <w:r>
        <w:rPr>
          <w:rFonts w:hint="eastAsia"/>
          <w:sz w:val="24"/>
        </w:rPr>
        <w:t>应用预防医学，</w:t>
      </w:r>
      <w:r>
        <w:rPr>
          <w:rFonts w:hint="eastAsia"/>
          <w:sz w:val="24"/>
        </w:rPr>
        <w:t>2008</w:t>
      </w:r>
      <w:r>
        <w:rPr>
          <w:rFonts w:hint="eastAsia"/>
          <w:sz w:val="24"/>
        </w:rPr>
        <w:t>，</w:t>
      </w:r>
      <w:r>
        <w:rPr>
          <w:rFonts w:hint="eastAsia"/>
          <w:sz w:val="24"/>
        </w:rPr>
        <w:t>14(5)</w:t>
      </w:r>
      <w:r>
        <w:rPr>
          <w:rFonts w:hint="eastAsia"/>
          <w:sz w:val="24"/>
        </w:rPr>
        <w:t>：</w:t>
      </w:r>
      <w:r>
        <w:rPr>
          <w:rFonts w:hint="eastAsia"/>
          <w:sz w:val="24"/>
        </w:rPr>
        <w:t>285-6.</w:t>
      </w:r>
    </w:p>
    <w:p w:rsidR="006F0EE3" w:rsidRDefault="006F0EE3">
      <w:pPr>
        <w:spacing w:line="360" w:lineRule="auto"/>
        <w:rPr>
          <w:rFonts w:hint="eastAsia"/>
          <w:sz w:val="24"/>
        </w:rPr>
      </w:pPr>
      <w:r>
        <w:rPr>
          <w:rFonts w:hint="eastAsia"/>
          <w:sz w:val="24"/>
        </w:rPr>
        <w:t xml:space="preserve">[11] </w:t>
      </w:r>
      <w:r>
        <w:rPr>
          <w:rFonts w:hint="eastAsia"/>
          <w:sz w:val="24"/>
        </w:rPr>
        <w:t>严本武．湖北省地甲病防治工怍选标考核验收工怍及评价</w:t>
      </w:r>
      <w:r>
        <w:rPr>
          <w:rFonts w:hint="eastAsia"/>
          <w:sz w:val="24"/>
        </w:rPr>
        <w:t>[J].</w:t>
      </w:r>
      <w:r>
        <w:rPr>
          <w:rFonts w:hint="eastAsia"/>
          <w:sz w:val="24"/>
        </w:rPr>
        <w:t>中国地方痛防治杂志，</w:t>
      </w:r>
      <w:r>
        <w:rPr>
          <w:sz w:val="24"/>
        </w:rPr>
        <w:t>1988</w:t>
      </w:r>
      <w:r>
        <w:rPr>
          <w:rFonts w:hint="eastAsia"/>
          <w:sz w:val="24"/>
        </w:rPr>
        <w:t>，</w:t>
      </w:r>
      <w:r>
        <w:rPr>
          <w:sz w:val="24"/>
        </w:rPr>
        <w:t>7(6)</w:t>
      </w:r>
      <w:r>
        <w:rPr>
          <w:rFonts w:hint="eastAsia"/>
          <w:sz w:val="24"/>
        </w:rPr>
        <w:t>：</w:t>
      </w:r>
      <w:r>
        <w:rPr>
          <w:sz w:val="24"/>
        </w:rPr>
        <w:t>329</w:t>
      </w:r>
      <w:r>
        <w:rPr>
          <w:rFonts w:hint="eastAsia"/>
          <w:sz w:val="24"/>
        </w:rPr>
        <w:t>-332.</w:t>
      </w:r>
    </w:p>
    <w:p w:rsidR="006F0EE3" w:rsidRDefault="006F0EE3">
      <w:pPr>
        <w:spacing w:line="360" w:lineRule="auto"/>
        <w:rPr>
          <w:sz w:val="24"/>
        </w:rPr>
      </w:pPr>
      <w:r>
        <w:rPr>
          <w:rFonts w:hint="eastAsia"/>
          <w:sz w:val="24"/>
        </w:rPr>
        <w:t xml:space="preserve">[12] </w:t>
      </w:r>
      <w:hyperlink r:id="rId20" w:history="1">
        <w:r>
          <w:rPr>
            <w:sz w:val="24"/>
          </w:rPr>
          <w:t>Paula</w:t>
        </w:r>
        <w:r>
          <w:rPr>
            <w:rFonts w:hint="eastAsia"/>
            <w:sz w:val="24"/>
          </w:rPr>
          <w:t>-</w:t>
        </w:r>
        <w:r>
          <w:rPr>
            <w:sz w:val="24"/>
          </w:rPr>
          <w:t>Andrade C</w:t>
        </w:r>
      </w:hyperlink>
      <w:r>
        <w:rPr>
          <w:rFonts w:hint="eastAsia"/>
          <w:sz w:val="24"/>
        </w:rPr>
        <w:t>，</w:t>
      </w:r>
      <w:r>
        <w:rPr>
          <w:sz w:val="24"/>
        </w:rPr>
        <w:t xml:space="preserve"> </w:t>
      </w:r>
      <w:hyperlink r:id="rId21" w:history="1">
        <w:r>
          <w:rPr>
            <w:sz w:val="24"/>
          </w:rPr>
          <w:t>Pinto HA</w:t>
        </w:r>
      </w:hyperlink>
      <w:r>
        <w:rPr>
          <w:rFonts w:hint="eastAsia"/>
          <w:sz w:val="24"/>
        </w:rPr>
        <w:t>，</w:t>
      </w:r>
      <w:r>
        <w:rPr>
          <w:sz w:val="24"/>
        </w:rPr>
        <w:t xml:space="preserve"> </w:t>
      </w:r>
      <w:hyperlink r:id="rId22" w:history="1">
        <w:r>
          <w:rPr>
            <w:sz w:val="24"/>
          </w:rPr>
          <w:t>Coscarelli D</w:t>
        </w:r>
      </w:hyperlink>
      <w:r>
        <w:rPr>
          <w:rFonts w:hint="eastAsia"/>
          <w:sz w:val="24"/>
        </w:rPr>
        <w:t>，</w:t>
      </w:r>
      <w:r>
        <w:rPr>
          <w:rFonts w:hint="eastAsia"/>
          <w:sz w:val="24"/>
        </w:rPr>
        <w:t>et al.</w:t>
      </w:r>
      <w:r>
        <w:rPr>
          <w:sz w:val="24"/>
        </w:rPr>
        <w:t>The natural infection of Melanoides tuberculata (Müller</w:t>
      </w:r>
      <w:r>
        <w:rPr>
          <w:rFonts w:hint="eastAsia"/>
          <w:sz w:val="24"/>
        </w:rPr>
        <w:t>，</w:t>
      </w:r>
      <w:r>
        <w:rPr>
          <w:sz w:val="24"/>
        </w:rPr>
        <w:t xml:space="preserve"> 1774) (Mollusca: Gastropoda) by Centrocestus formosanus (Nishigori</w:t>
      </w:r>
      <w:r>
        <w:rPr>
          <w:rFonts w:hint="eastAsia"/>
          <w:sz w:val="24"/>
        </w:rPr>
        <w:t>，</w:t>
      </w:r>
      <w:r>
        <w:rPr>
          <w:sz w:val="24"/>
        </w:rPr>
        <w:t xml:space="preserve"> 1924) (Platyhelminthes: Trematoda) in Paranoá lake</w:t>
      </w:r>
      <w:r>
        <w:rPr>
          <w:rFonts w:hint="eastAsia"/>
          <w:sz w:val="24"/>
        </w:rPr>
        <w:t>，</w:t>
      </w:r>
      <w:r>
        <w:rPr>
          <w:sz w:val="24"/>
        </w:rPr>
        <w:t xml:space="preserve"> Brasília</w:t>
      </w:r>
      <w:r>
        <w:rPr>
          <w:rFonts w:hint="eastAsia"/>
          <w:sz w:val="24"/>
        </w:rPr>
        <w:t>，</w:t>
      </w:r>
      <w:r>
        <w:rPr>
          <w:sz w:val="24"/>
        </w:rPr>
        <w:t>Brazil</w:t>
      </w:r>
      <w:r>
        <w:rPr>
          <w:rFonts w:hint="eastAsia"/>
          <w:sz w:val="24"/>
        </w:rPr>
        <w:t>[J]</w:t>
      </w:r>
      <w:r>
        <w:rPr>
          <w:sz w:val="24"/>
        </w:rPr>
        <w:t>.Braz J Biol</w:t>
      </w:r>
      <w:r>
        <w:rPr>
          <w:rFonts w:hint="eastAsia"/>
          <w:sz w:val="24"/>
        </w:rPr>
        <w:t>，</w:t>
      </w:r>
      <w:r>
        <w:rPr>
          <w:sz w:val="24"/>
        </w:rPr>
        <w:t>2012</w:t>
      </w:r>
      <w:r>
        <w:rPr>
          <w:rFonts w:hint="eastAsia"/>
          <w:sz w:val="24"/>
        </w:rPr>
        <w:t>，</w:t>
      </w:r>
      <w:r>
        <w:rPr>
          <w:sz w:val="24"/>
        </w:rPr>
        <w:t>72(2):419</w:t>
      </w:r>
      <w:r>
        <w:rPr>
          <w:rFonts w:hint="eastAsia"/>
          <w:sz w:val="24"/>
        </w:rPr>
        <w:t>-</w:t>
      </w:r>
      <w:r>
        <w:rPr>
          <w:sz w:val="24"/>
        </w:rPr>
        <w:t>20.</w:t>
      </w:r>
    </w:p>
    <w:p w:rsidR="006F0EE3" w:rsidRDefault="006F0EE3">
      <w:pPr>
        <w:spacing w:line="360" w:lineRule="auto"/>
        <w:rPr>
          <w:sz w:val="24"/>
        </w:rPr>
      </w:pPr>
      <w:r>
        <w:rPr>
          <w:sz w:val="24"/>
        </w:rPr>
        <w:t>[1</w:t>
      </w:r>
      <w:r>
        <w:rPr>
          <w:rFonts w:hint="eastAsia"/>
          <w:sz w:val="24"/>
        </w:rPr>
        <w:t>3</w:t>
      </w:r>
      <w:r>
        <w:rPr>
          <w:sz w:val="24"/>
        </w:rPr>
        <w:t xml:space="preserve">] </w:t>
      </w:r>
      <w:hyperlink r:id="rId23" w:history="1">
        <w:r>
          <w:rPr>
            <w:sz w:val="24"/>
          </w:rPr>
          <w:t>Han ET</w:t>
        </w:r>
      </w:hyperlink>
      <w:r>
        <w:rPr>
          <w:sz w:val="24"/>
        </w:rPr>
        <w:t>，</w:t>
      </w:r>
      <w:hyperlink r:id="rId24" w:history="1">
        <w:r>
          <w:rPr>
            <w:sz w:val="24"/>
          </w:rPr>
          <w:t>Shin EH</w:t>
        </w:r>
      </w:hyperlink>
      <w:r>
        <w:rPr>
          <w:sz w:val="24"/>
        </w:rPr>
        <w:t>，</w:t>
      </w:r>
      <w:hyperlink r:id="rId25" w:history="1">
        <w:r>
          <w:rPr>
            <w:sz w:val="24"/>
          </w:rPr>
          <w:t>Phommakorn S</w:t>
        </w:r>
      </w:hyperlink>
      <w:r>
        <w:rPr>
          <w:sz w:val="24"/>
        </w:rPr>
        <w:t>，</w:t>
      </w:r>
      <w:r>
        <w:rPr>
          <w:sz w:val="24"/>
        </w:rPr>
        <w:t>et al.Centrocestus formosanus (Digenea: Heterophyidae) encysted in the freshwater fish, Puntius brevis, from Lao PDR[J]. Korean J Parasito</w:t>
      </w:r>
      <w:hyperlink r:id="rId26" w:history="1">
        <w:r>
          <w:rPr>
            <w:sz w:val="24"/>
          </w:rPr>
          <w:t>l</w:t>
        </w:r>
      </w:hyperlink>
      <w:r>
        <w:rPr>
          <w:sz w:val="24"/>
        </w:rPr>
        <w:t>，</w:t>
      </w:r>
      <w:r>
        <w:rPr>
          <w:sz w:val="24"/>
        </w:rPr>
        <w:t>2008</w:t>
      </w:r>
      <w:r>
        <w:rPr>
          <w:sz w:val="24"/>
        </w:rPr>
        <w:t>，</w:t>
      </w:r>
      <w:r>
        <w:rPr>
          <w:sz w:val="24"/>
        </w:rPr>
        <w:t>46(1):49-53.</w:t>
      </w:r>
    </w:p>
    <w:p w:rsidR="006F0EE3" w:rsidRDefault="006F0EE3">
      <w:pPr>
        <w:spacing w:line="360" w:lineRule="auto"/>
        <w:rPr>
          <w:rFonts w:hint="eastAsia"/>
        </w:rPr>
      </w:pPr>
    </w:p>
    <w:p w:rsidR="006F0EE3" w:rsidRDefault="006F0EE3">
      <w:pPr>
        <w:spacing w:line="360" w:lineRule="auto"/>
        <w:ind w:firstLineChars="200" w:firstLine="480"/>
        <w:jc w:val="center"/>
        <w:rPr>
          <w:sz w:val="24"/>
        </w:rPr>
      </w:pPr>
    </w:p>
    <w:p w:rsidR="006F0EE3" w:rsidRDefault="006F0EE3">
      <w:pPr>
        <w:spacing w:line="360" w:lineRule="auto"/>
        <w:ind w:firstLineChars="200" w:firstLine="480"/>
        <w:jc w:val="center"/>
        <w:rPr>
          <w:sz w:val="24"/>
        </w:rPr>
      </w:pPr>
    </w:p>
    <w:p w:rsidR="006F0EE3" w:rsidRDefault="006F0EE3">
      <w:pPr>
        <w:spacing w:line="360" w:lineRule="auto"/>
        <w:ind w:firstLineChars="200" w:firstLine="480"/>
        <w:jc w:val="center"/>
        <w:rPr>
          <w:bCs/>
          <w:sz w:val="24"/>
        </w:rPr>
      </w:pPr>
      <w:r>
        <w:rPr>
          <w:sz w:val="24"/>
        </w:rPr>
        <w:lastRenderedPageBreak/>
        <w:t>表</w:t>
      </w:r>
      <w:r>
        <w:rPr>
          <w:sz w:val="24"/>
        </w:rPr>
        <w:t xml:space="preserve">1 </w:t>
      </w:r>
      <w:r>
        <w:rPr>
          <w:sz w:val="24"/>
        </w:rPr>
        <w:t>不同调查点泥鳅</w:t>
      </w:r>
      <w:r>
        <w:rPr>
          <w:bCs/>
          <w:sz w:val="24"/>
        </w:rPr>
        <w:t>台湾棘带吸虫囊蚴感染率及感染度情况</w:t>
      </w:r>
    </w:p>
    <w:p w:rsidR="006F0EE3" w:rsidRDefault="006F0EE3">
      <w:pPr>
        <w:spacing w:line="360" w:lineRule="auto"/>
        <w:ind w:firstLineChars="200" w:firstLine="480"/>
        <w:jc w:val="center"/>
        <w:outlineLvl w:val="0"/>
        <w:rPr>
          <w:rFonts w:ascii="宋体" w:hAnsi="宋体" w:cs="宋体" w:hint="eastAsia"/>
          <w:sz w:val="24"/>
          <w:highlight w:val="lightGray"/>
        </w:rPr>
      </w:pPr>
      <w:r>
        <w:rPr>
          <w:sz w:val="24"/>
        </w:rPr>
        <w:t xml:space="preserve">Table 1  Distribution of </w:t>
      </w:r>
      <w:r>
        <w:rPr>
          <w:i/>
          <w:sz w:val="24"/>
        </w:rPr>
        <w:t xml:space="preserve">Centrocestus formosanus Nishigori </w:t>
      </w:r>
      <w:r>
        <w:rPr>
          <w:sz w:val="24"/>
        </w:rPr>
        <w:t xml:space="preserve">infection and </w:t>
      </w:r>
      <w:r>
        <w:rPr>
          <w:i/>
          <w:sz w:val="24"/>
        </w:rPr>
        <w:t xml:space="preserve"> </w:t>
      </w:r>
      <w:r>
        <w:rPr>
          <w:sz w:val="24"/>
        </w:rPr>
        <w:t>infection density in different</w:t>
      </w:r>
      <w:r>
        <w:rPr>
          <w:bCs/>
          <w:sz w:val="24"/>
        </w:rPr>
        <w:t xml:space="preserve"> s</w:t>
      </w:r>
      <w:r>
        <w:rPr>
          <w:sz w:val="24"/>
        </w:rPr>
        <w:t>urvey points</w:t>
      </w:r>
    </w:p>
    <w:tbl>
      <w:tblPr>
        <w:tblpPr w:leftFromText="180" w:rightFromText="180" w:vertAnchor="text" w:horzAnchor="page" w:tblpX="1315" w:tblpY="226"/>
        <w:tblOverlap w:val="never"/>
        <w:tblW w:w="0" w:type="auto"/>
        <w:tblBorders>
          <w:top w:val="single" w:sz="4" w:space="0" w:color="auto"/>
          <w:left w:val="single" w:sz="4" w:space="0" w:color="FFFFFF"/>
          <w:bottom w:val="single" w:sz="4" w:space="0" w:color="auto"/>
          <w:right w:val="single" w:sz="4" w:space="0" w:color="FFFFFF"/>
          <w:insideH w:val="single" w:sz="4" w:space="0" w:color="FFFFFF"/>
          <w:insideV w:val="single" w:sz="4" w:space="0" w:color="FFFFFF"/>
        </w:tblBorders>
        <w:tblLayout w:type="fixed"/>
        <w:tblLook w:val="0000"/>
      </w:tblPr>
      <w:tblGrid>
        <w:gridCol w:w="1489"/>
        <w:gridCol w:w="1164"/>
        <w:gridCol w:w="1166"/>
        <w:gridCol w:w="1166"/>
        <w:gridCol w:w="1167"/>
        <w:gridCol w:w="1166"/>
        <w:gridCol w:w="1166"/>
        <w:gridCol w:w="1116"/>
      </w:tblGrid>
      <w:tr w:rsidR="006F0EE3">
        <w:tblPrEx>
          <w:tblCellMar>
            <w:top w:w="0" w:type="dxa"/>
            <w:bottom w:w="0" w:type="dxa"/>
          </w:tblCellMar>
        </w:tblPrEx>
        <w:trPr>
          <w:trHeight w:val="90"/>
        </w:trPr>
        <w:tc>
          <w:tcPr>
            <w:tcW w:w="1489" w:type="dxa"/>
            <w:tcBorders>
              <w:bottom w:val="single" w:sz="4" w:space="0" w:color="auto"/>
            </w:tcBorders>
          </w:tcPr>
          <w:p w:rsidR="006F0EE3" w:rsidRDefault="006F0EE3">
            <w:pPr>
              <w:spacing w:line="360" w:lineRule="auto"/>
              <w:rPr>
                <w:bCs/>
                <w:sz w:val="18"/>
                <w:szCs w:val="18"/>
              </w:rPr>
            </w:pPr>
            <w:r>
              <w:rPr>
                <w:bCs/>
                <w:sz w:val="18"/>
                <w:szCs w:val="18"/>
              </w:rPr>
              <w:t>调查点</w:t>
            </w:r>
          </w:p>
          <w:p w:rsidR="006F0EE3" w:rsidRDefault="006F0EE3">
            <w:pPr>
              <w:spacing w:line="360" w:lineRule="auto"/>
              <w:rPr>
                <w:sz w:val="18"/>
                <w:szCs w:val="18"/>
              </w:rPr>
            </w:pPr>
            <w:r>
              <w:rPr>
                <w:bCs/>
                <w:sz w:val="18"/>
                <w:szCs w:val="18"/>
              </w:rPr>
              <w:t>s</w:t>
            </w:r>
            <w:r>
              <w:rPr>
                <w:sz w:val="18"/>
                <w:szCs w:val="18"/>
              </w:rPr>
              <w:t xml:space="preserve">urvey </w:t>
            </w:r>
          </w:p>
          <w:p w:rsidR="006F0EE3" w:rsidRDefault="006F0EE3">
            <w:pPr>
              <w:spacing w:line="360" w:lineRule="auto"/>
              <w:rPr>
                <w:bCs/>
                <w:sz w:val="18"/>
                <w:szCs w:val="18"/>
              </w:rPr>
            </w:pPr>
            <w:r>
              <w:rPr>
                <w:sz w:val="18"/>
                <w:szCs w:val="18"/>
              </w:rPr>
              <w:t>points</w:t>
            </w:r>
          </w:p>
        </w:tc>
        <w:tc>
          <w:tcPr>
            <w:tcW w:w="1164" w:type="dxa"/>
            <w:tcBorders>
              <w:bottom w:val="single" w:sz="4" w:space="0" w:color="auto"/>
            </w:tcBorders>
          </w:tcPr>
          <w:p w:rsidR="006F0EE3" w:rsidRDefault="006F0EE3">
            <w:pPr>
              <w:spacing w:line="360" w:lineRule="auto"/>
              <w:jc w:val="center"/>
              <w:rPr>
                <w:bCs/>
                <w:sz w:val="18"/>
                <w:szCs w:val="18"/>
              </w:rPr>
            </w:pPr>
            <w:r>
              <w:rPr>
                <w:bCs/>
                <w:sz w:val="18"/>
                <w:szCs w:val="18"/>
              </w:rPr>
              <w:t>检查数</w:t>
            </w:r>
          </w:p>
          <w:p w:rsidR="006F0EE3" w:rsidRDefault="006F0EE3">
            <w:pPr>
              <w:spacing w:line="360" w:lineRule="auto"/>
              <w:jc w:val="center"/>
              <w:rPr>
                <w:sz w:val="18"/>
                <w:szCs w:val="18"/>
              </w:rPr>
            </w:pPr>
            <w:r>
              <w:rPr>
                <w:sz w:val="18"/>
                <w:szCs w:val="18"/>
              </w:rPr>
              <w:t>No.</w:t>
            </w:r>
          </w:p>
          <w:p w:rsidR="006F0EE3" w:rsidRDefault="006F0EE3">
            <w:pPr>
              <w:spacing w:line="360" w:lineRule="auto"/>
              <w:jc w:val="center"/>
              <w:rPr>
                <w:bCs/>
                <w:sz w:val="18"/>
                <w:szCs w:val="18"/>
              </w:rPr>
            </w:pPr>
            <w:r>
              <w:rPr>
                <w:sz w:val="18"/>
                <w:szCs w:val="18"/>
              </w:rPr>
              <w:t>examined</w:t>
            </w:r>
          </w:p>
        </w:tc>
        <w:tc>
          <w:tcPr>
            <w:tcW w:w="1166" w:type="dxa"/>
            <w:tcBorders>
              <w:bottom w:val="single" w:sz="4" w:space="0" w:color="auto"/>
            </w:tcBorders>
          </w:tcPr>
          <w:p w:rsidR="006F0EE3" w:rsidRDefault="006F0EE3">
            <w:pPr>
              <w:spacing w:line="360" w:lineRule="auto"/>
              <w:jc w:val="center"/>
              <w:rPr>
                <w:bCs/>
                <w:sz w:val="18"/>
                <w:szCs w:val="18"/>
              </w:rPr>
            </w:pPr>
            <w:r>
              <w:rPr>
                <w:bCs/>
                <w:sz w:val="18"/>
                <w:szCs w:val="18"/>
              </w:rPr>
              <w:t>感染数</w:t>
            </w:r>
          </w:p>
          <w:p w:rsidR="006F0EE3" w:rsidRDefault="006F0EE3">
            <w:pPr>
              <w:spacing w:line="360" w:lineRule="auto"/>
              <w:jc w:val="center"/>
              <w:rPr>
                <w:sz w:val="18"/>
                <w:szCs w:val="18"/>
              </w:rPr>
            </w:pPr>
            <w:r>
              <w:rPr>
                <w:sz w:val="18"/>
                <w:szCs w:val="18"/>
              </w:rPr>
              <w:t>No.</w:t>
            </w:r>
          </w:p>
          <w:p w:rsidR="006F0EE3" w:rsidRDefault="006F0EE3">
            <w:pPr>
              <w:spacing w:line="360" w:lineRule="auto"/>
              <w:jc w:val="center"/>
              <w:rPr>
                <w:bCs/>
                <w:sz w:val="18"/>
                <w:szCs w:val="18"/>
              </w:rPr>
            </w:pPr>
            <w:r>
              <w:rPr>
                <w:sz w:val="18"/>
                <w:szCs w:val="18"/>
              </w:rPr>
              <w:t>infected</w:t>
            </w:r>
          </w:p>
        </w:tc>
        <w:tc>
          <w:tcPr>
            <w:tcW w:w="1166" w:type="dxa"/>
            <w:tcBorders>
              <w:bottom w:val="single" w:sz="4" w:space="0" w:color="auto"/>
            </w:tcBorders>
          </w:tcPr>
          <w:p w:rsidR="006F0EE3" w:rsidRDefault="006F0EE3">
            <w:pPr>
              <w:spacing w:line="360" w:lineRule="auto"/>
              <w:rPr>
                <w:bCs/>
                <w:sz w:val="18"/>
                <w:szCs w:val="18"/>
              </w:rPr>
            </w:pPr>
            <w:r>
              <w:rPr>
                <w:bCs/>
                <w:sz w:val="18"/>
                <w:szCs w:val="18"/>
              </w:rPr>
              <w:t>总重量（克）</w:t>
            </w:r>
            <w:r>
              <w:rPr>
                <w:bCs/>
                <w:sz w:val="18"/>
                <w:szCs w:val="18"/>
              </w:rPr>
              <w:t>Total weight</w:t>
            </w:r>
          </w:p>
          <w:p w:rsidR="006F0EE3" w:rsidRDefault="006F0EE3">
            <w:pPr>
              <w:spacing w:line="360" w:lineRule="auto"/>
              <w:rPr>
                <w:bCs/>
                <w:sz w:val="18"/>
                <w:szCs w:val="18"/>
              </w:rPr>
            </w:pPr>
            <w:r>
              <w:rPr>
                <w:bCs/>
                <w:sz w:val="18"/>
                <w:szCs w:val="18"/>
              </w:rPr>
              <w:t>(grams)</w:t>
            </w:r>
          </w:p>
        </w:tc>
        <w:tc>
          <w:tcPr>
            <w:tcW w:w="1167" w:type="dxa"/>
            <w:tcBorders>
              <w:bottom w:val="single" w:sz="4" w:space="0" w:color="auto"/>
            </w:tcBorders>
          </w:tcPr>
          <w:p w:rsidR="006F0EE3" w:rsidRDefault="006F0EE3">
            <w:pPr>
              <w:spacing w:line="360" w:lineRule="auto"/>
              <w:rPr>
                <w:sz w:val="18"/>
                <w:szCs w:val="18"/>
              </w:rPr>
            </w:pPr>
            <w:r>
              <w:rPr>
                <w:bCs/>
                <w:sz w:val="18"/>
                <w:szCs w:val="18"/>
              </w:rPr>
              <w:t>囊蚴数</w:t>
            </w:r>
            <w:r>
              <w:rPr>
                <w:sz w:val="18"/>
                <w:szCs w:val="18"/>
              </w:rPr>
              <w:t>（个）</w:t>
            </w:r>
          </w:p>
          <w:p w:rsidR="006F0EE3" w:rsidRDefault="006F0EE3">
            <w:pPr>
              <w:spacing w:line="360" w:lineRule="auto"/>
              <w:rPr>
                <w:bCs/>
                <w:sz w:val="18"/>
                <w:szCs w:val="18"/>
              </w:rPr>
            </w:pPr>
            <w:r>
              <w:rPr>
                <w:sz w:val="18"/>
                <w:szCs w:val="18"/>
              </w:rPr>
              <w:t>No.</w:t>
            </w:r>
            <w:r>
              <w:rPr>
                <w:color w:val="222222"/>
                <w:sz w:val="18"/>
                <w:szCs w:val="18"/>
              </w:rPr>
              <w:t>metacer</w:t>
            </w:r>
            <w:r>
              <w:rPr>
                <w:rFonts w:hint="eastAsia"/>
                <w:color w:val="222222"/>
                <w:sz w:val="18"/>
                <w:szCs w:val="18"/>
              </w:rPr>
              <w:t>-</w:t>
            </w:r>
            <w:r>
              <w:rPr>
                <w:color w:val="222222"/>
                <w:sz w:val="18"/>
                <w:szCs w:val="18"/>
              </w:rPr>
              <w:t>cariae</w:t>
            </w:r>
          </w:p>
        </w:tc>
        <w:tc>
          <w:tcPr>
            <w:tcW w:w="1166" w:type="dxa"/>
            <w:tcBorders>
              <w:bottom w:val="single" w:sz="4" w:space="0" w:color="auto"/>
            </w:tcBorders>
          </w:tcPr>
          <w:p w:rsidR="006F0EE3" w:rsidRDefault="006F0EE3">
            <w:pPr>
              <w:spacing w:line="360" w:lineRule="auto"/>
              <w:rPr>
                <w:rFonts w:hint="eastAsia"/>
                <w:sz w:val="18"/>
                <w:szCs w:val="18"/>
              </w:rPr>
            </w:pPr>
            <w:r>
              <w:rPr>
                <w:bCs/>
                <w:sz w:val="18"/>
                <w:szCs w:val="18"/>
              </w:rPr>
              <w:t>囊蚴总</w:t>
            </w:r>
            <w:r>
              <w:rPr>
                <w:sz w:val="18"/>
                <w:szCs w:val="18"/>
              </w:rPr>
              <w:t>（个）</w:t>
            </w:r>
            <w:r>
              <w:rPr>
                <w:bCs/>
                <w:sz w:val="18"/>
                <w:szCs w:val="18"/>
              </w:rPr>
              <w:t>Total</w:t>
            </w:r>
            <w:r>
              <w:rPr>
                <w:rFonts w:hint="eastAsia"/>
                <w:bCs/>
                <w:sz w:val="18"/>
                <w:szCs w:val="18"/>
              </w:rPr>
              <w:t xml:space="preserve"> </w:t>
            </w:r>
            <w:r>
              <w:rPr>
                <w:sz w:val="18"/>
                <w:szCs w:val="18"/>
              </w:rPr>
              <w:t>No.</w:t>
            </w:r>
            <w:r>
              <w:rPr>
                <w:rFonts w:hint="eastAsia"/>
                <w:sz w:val="18"/>
                <w:szCs w:val="18"/>
              </w:rPr>
              <w:t>M-</w:t>
            </w:r>
          </w:p>
          <w:p w:rsidR="006F0EE3" w:rsidRDefault="006F0EE3">
            <w:pPr>
              <w:spacing w:line="360" w:lineRule="auto"/>
              <w:rPr>
                <w:sz w:val="18"/>
                <w:szCs w:val="18"/>
              </w:rPr>
            </w:pPr>
            <w:r>
              <w:rPr>
                <w:color w:val="222222"/>
                <w:sz w:val="18"/>
                <w:szCs w:val="18"/>
              </w:rPr>
              <w:t>etacercariae</w:t>
            </w:r>
          </w:p>
        </w:tc>
        <w:tc>
          <w:tcPr>
            <w:tcW w:w="1166" w:type="dxa"/>
            <w:tcBorders>
              <w:bottom w:val="single" w:sz="4" w:space="0" w:color="auto"/>
            </w:tcBorders>
          </w:tcPr>
          <w:p w:rsidR="006F0EE3" w:rsidRDefault="006F0EE3">
            <w:pPr>
              <w:spacing w:line="360" w:lineRule="auto"/>
              <w:rPr>
                <w:bCs/>
                <w:sz w:val="18"/>
                <w:szCs w:val="18"/>
              </w:rPr>
            </w:pPr>
            <w:r>
              <w:rPr>
                <w:bCs/>
                <w:sz w:val="18"/>
                <w:szCs w:val="18"/>
              </w:rPr>
              <w:t>感染率</w:t>
            </w:r>
            <w:r>
              <w:rPr>
                <w:sz w:val="18"/>
                <w:szCs w:val="18"/>
              </w:rPr>
              <w:t>%</w:t>
            </w:r>
          </w:p>
          <w:p w:rsidR="006F0EE3" w:rsidRDefault="006F0EE3">
            <w:pPr>
              <w:spacing w:line="360" w:lineRule="auto"/>
              <w:rPr>
                <w:bCs/>
                <w:sz w:val="18"/>
                <w:szCs w:val="18"/>
              </w:rPr>
            </w:pPr>
            <w:r>
              <w:rPr>
                <w:sz w:val="18"/>
                <w:szCs w:val="18"/>
              </w:rPr>
              <w:t>Infection rate</w:t>
            </w:r>
          </w:p>
        </w:tc>
        <w:tc>
          <w:tcPr>
            <w:tcW w:w="1116" w:type="dxa"/>
            <w:tcBorders>
              <w:bottom w:val="single" w:sz="4" w:space="0" w:color="auto"/>
            </w:tcBorders>
          </w:tcPr>
          <w:p w:rsidR="006F0EE3" w:rsidRDefault="006F0EE3">
            <w:pPr>
              <w:spacing w:line="360" w:lineRule="auto"/>
              <w:rPr>
                <w:sz w:val="18"/>
                <w:szCs w:val="18"/>
              </w:rPr>
            </w:pPr>
            <w:r>
              <w:rPr>
                <w:bCs/>
                <w:sz w:val="18"/>
                <w:szCs w:val="18"/>
              </w:rPr>
              <w:t>感染度</w:t>
            </w:r>
            <w:r>
              <w:rPr>
                <w:bCs/>
                <w:sz w:val="18"/>
                <w:szCs w:val="18"/>
              </w:rPr>
              <w:t>(</w:t>
            </w:r>
            <w:r>
              <w:rPr>
                <w:bCs/>
                <w:sz w:val="18"/>
                <w:szCs w:val="18"/>
              </w:rPr>
              <w:t>个</w:t>
            </w:r>
            <w:r>
              <w:rPr>
                <w:sz w:val="18"/>
                <w:szCs w:val="18"/>
              </w:rPr>
              <w:t>/</w:t>
            </w:r>
            <w:r>
              <w:rPr>
                <w:sz w:val="18"/>
                <w:szCs w:val="18"/>
              </w:rPr>
              <w:t>克）</w:t>
            </w:r>
            <w:r>
              <w:rPr>
                <w:sz w:val="18"/>
                <w:szCs w:val="18"/>
              </w:rPr>
              <w:t>infected</w:t>
            </w:r>
          </w:p>
          <w:p w:rsidR="006F0EE3" w:rsidRDefault="006F0EE3">
            <w:pPr>
              <w:spacing w:line="360" w:lineRule="auto"/>
              <w:rPr>
                <w:sz w:val="18"/>
                <w:szCs w:val="18"/>
              </w:rPr>
            </w:pPr>
            <w:r>
              <w:rPr>
                <w:color w:val="222222"/>
                <w:sz w:val="18"/>
                <w:szCs w:val="18"/>
              </w:rPr>
              <w:t>intensity</w:t>
            </w:r>
          </w:p>
        </w:tc>
      </w:tr>
      <w:tr w:rsidR="006F0EE3">
        <w:tblPrEx>
          <w:tblCellMar>
            <w:top w:w="0" w:type="dxa"/>
            <w:bottom w:w="0" w:type="dxa"/>
          </w:tblCellMar>
        </w:tblPrEx>
        <w:trPr>
          <w:trHeight w:val="90"/>
        </w:trPr>
        <w:tc>
          <w:tcPr>
            <w:tcW w:w="1489" w:type="dxa"/>
            <w:tcBorders>
              <w:top w:val="single" w:sz="4" w:space="0" w:color="auto"/>
            </w:tcBorders>
          </w:tcPr>
          <w:p w:rsidR="006F0EE3" w:rsidRDefault="006F0EE3">
            <w:pPr>
              <w:spacing w:line="360" w:lineRule="auto"/>
              <w:rPr>
                <w:bCs/>
                <w:sz w:val="18"/>
                <w:szCs w:val="18"/>
              </w:rPr>
            </w:pPr>
            <w:r>
              <w:rPr>
                <w:sz w:val="18"/>
                <w:szCs w:val="18"/>
              </w:rPr>
              <w:t>大桥镇</w:t>
            </w:r>
            <w:r>
              <w:rPr>
                <w:sz w:val="18"/>
                <w:szCs w:val="18"/>
              </w:rPr>
              <w:t>Big Bridge Town</w:t>
            </w:r>
          </w:p>
        </w:tc>
        <w:tc>
          <w:tcPr>
            <w:tcW w:w="1164" w:type="dxa"/>
            <w:tcBorders>
              <w:top w:val="single" w:sz="4" w:space="0" w:color="auto"/>
            </w:tcBorders>
          </w:tcPr>
          <w:p w:rsidR="006F0EE3" w:rsidRDefault="006F0EE3">
            <w:pPr>
              <w:spacing w:line="360" w:lineRule="auto"/>
              <w:jc w:val="center"/>
              <w:rPr>
                <w:bCs/>
                <w:sz w:val="18"/>
                <w:szCs w:val="18"/>
              </w:rPr>
            </w:pPr>
          </w:p>
          <w:p w:rsidR="006F0EE3" w:rsidRDefault="006F0EE3">
            <w:pPr>
              <w:spacing w:line="360" w:lineRule="auto"/>
              <w:jc w:val="center"/>
              <w:rPr>
                <w:bCs/>
                <w:sz w:val="18"/>
                <w:szCs w:val="18"/>
              </w:rPr>
            </w:pPr>
            <w:r>
              <w:rPr>
                <w:bCs/>
                <w:sz w:val="18"/>
                <w:szCs w:val="18"/>
              </w:rPr>
              <w:t>56</w:t>
            </w:r>
          </w:p>
        </w:tc>
        <w:tc>
          <w:tcPr>
            <w:tcW w:w="1166" w:type="dxa"/>
            <w:tcBorders>
              <w:top w:val="single" w:sz="4" w:space="0" w:color="auto"/>
            </w:tcBorders>
          </w:tcPr>
          <w:p w:rsidR="006F0EE3" w:rsidRDefault="006F0EE3">
            <w:pPr>
              <w:spacing w:line="360" w:lineRule="auto"/>
              <w:jc w:val="center"/>
              <w:rPr>
                <w:bCs/>
                <w:sz w:val="18"/>
                <w:szCs w:val="18"/>
              </w:rPr>
            </w:pPr>
          </w:p>
          <w:p w:rsidR="006F0EE3" w:rsidRDefault="006F0EE3">
            <w:pPr>
              <w:spacing w:line="360" w:lineRule="auto"/>
              <w:rPr>
                <w:bCs/>
                <w:sz w:val="18"/>
                <w:szCs w:val="18"/>
              </w:rPr>
            </w:pPr>
            <w:r>
              <w:rPr>
                <w:rFonts w:hint="eastAsia"/>
                <w:bCs/>
                <w:sz w:val="18"/>
                <w:szCs w:val="18"/>
              </w:rPr>
              <w:t xml:space="preserve">   </w:t>
            </w:r>
            <w:r>
              <w:rPr>
                <w:bCs/>
                <w:sz w:val="18"/>
                <w:szCs w:val="18"/>
              </w:rPr>
              <w:t>41</w:t>
            </w:r>
          </w:p>
        </w:tc>
        <w:tc>
          <w:tcPr>
            <w:tcW w:w="1166" w:type="dxa"/>
            <w:tcBorders>
              <w:top w:val="single" w:sz="4" w:space="0" w:color="auto"/>
            </w:tcBorders>
          </w:tcPr>
          <w:p w:rsidR="006F0EE3" w:rsidRDefault="006F0EE3">
            <w:pPr>
              <w:spacing w:line="360" w:lineRule="auto"/>
              <w:jc w:val="center"/>
              <w:rPr>
                <w:sz w:val="18"/>
                <w:szCs w:val="18"/>
              </w:rPr>
            </w:pPr>
          </w:p>
          <w:p w:rsidR="006F0EE3" w:rsidRDefault="006F0EE3">
            <w:pPr>
              <w:spacing w:line="360" w:lineRule="auto"/>
              <w:rPr>
                <w:bCs/>
                <w:sz w:val="18"/>
                <w:szCs w:val="18"/>
              </w:rPr>
            </w:pPr>
            <w:r>
              <w:rPr>
                <w:sz w:val="18"/>
                <w:szCs w:val="18"/>
              </w:rPr>
              <w:t>482.2</w:t>
            </w:r>
          </w:p>
        </w:tc>
        <w:tc>
          <w:tcPr>
            <w:tcW w:w="1167" w:type="dxa"/>
            <w:tcBorders>
              <w:top w:val="single" w:sz="4" w:space="0" w:color="auto"/>
            </w:tcBorders>
          </w:tcPr>
          <w:p w:rsidR="006F0EE3" w:rsidRDefault="006F0EE3">
            <w:pPr>
              <w:spacing w:line="360" w:lineRule="auto"/>
              <w:jc w:val="center"/>
              <w:rPr>
                <w:bCs/>
                <w:sz w:val="18"/>
                <w:szCs w:val="18"/>
              </w:rPr>
            </w:pPr>
          </w:p>
          <w:p w:rsidR="006F0EE3" w:rsidRDefault="006F0EE3">
            <w:pPr>
              <w:spacing w:line="360" w:lineRule="auto"/>
              <w:rPr>
                <w:bCs/>
                <w:sz w:val="18"/>
                <w:szCs w:val="18"/>
              </w:rPr>
            </w:pPr>
            <w:r>
              <w:rPr>
                <w:bCs/>
                <w:sz w:val="18"/>
                <w:szCs w:val="18"/>
              </w:rPr>
              <w:t>1</w:t>
            </w:r>
            <w:r>
              <w:rPr>
                <w:rFonts w:hint="eastAsia"/>
                <w:bCs/>
                <w:sz w:val="18"/>
                <w:szCs w:val="18"/>
              </w:rPr>
              <w:t>～</w:t>
            </w:r>
            <w:r>
              <w:rPr>
                <w:bCs/>
                <w:sz w:val="18"/>
                <w:szCs w:val="18"/>
              </w:rPr>
              <w:t>162</w:t>
            </w:r>
          </w:p>
        </w:tc>
        <w:tc>
          <w:tcPr>
            <w:tcW w:w="1166" w:type="dxa"/>
            <w:tcBorders>
              <w:top w:val="single" w:sz="4" w:space="0" w:color="auto"/>
            </w:tcBorders>
          </w:tcPr>
          <w:p w:rsidR="006F0EE3" w:rsidRDefault="006F0EE3" w:rsidP="00DB6CFD">
            <w:pPr>
              <w:spacing w:line="360" w:lineRule="auto"/>
              <w:ind w:firstLineChars="200" w:firstLine="360"/>
              <w:rPr>
                <w:sz w:val="18"/>
                <w:szCs w:val="18"/>
              </w:rPr>
            </w:pPr>
          </w:p>
          <w:p w:rsidR="006F0EE3" w:rsidRDefault="006F0EE3">
            <w:pPr>
              <w:spacing w:line="360" w:lineRule="auto"/>
              <w:rPr>
                <w:bCs/>
                <w:sz w:val="18"/>
                <w:szCs w:val="18"/>
              </w:rPr>
            </w:pPr>
            <w:r>
              <w:rPr>
                <w:rFonts w:hint="eastAsia"/>
                <w:sz w:val="18"/>
                <w:szCs w:val="18"/>
              </w:rPr>
              <w:t xml:space="preserve">   </w:t>
            </w:r>
            <w:r>
              <w:rPr>
                <w:sz w:val="18"/>
                <w:szCs w:val="18"/>
              </w:rPr>
              <w:t>855</w:t>
            </w:r>
          </w:p>
        </w:tc>
        <w:tc>
          <w:tcPr>
            <w:tcW w:w="1166" w:type="dxa"/>
            <w:tcBorders>
              <w:top w:val="single" w:sz="4" w:space="0" w:color="auto"/>
            </w:tcBorders>
          </w:tcPr>
          <w:p w:rsidR="006F0EE3" w:rsidRDefault="006F0EE3">
            <w:pPr>
              <w:spacing w:line="360" w:lineRule="auto"/>
              <w:jc w:val="center"/>
              <w:rPr>
                <w:bCs/>
                <w:sz w:val="18"/>
                <w:szCs w:val="18"/>
              </w:rPr>
            </w:pPr>
          </w:p>
          <w:p w:rsidR="006F0EE3" w:rsidRDefault="006F0EE3">
            <w:pPr>
              <w:spacing w:line="360" w:lineRule="auto"/>
              <w:rPr>
                <w:bCs/>
                <w:sz w:val="18"/>
                <w:szCs w:val="18"/>
              </w:rPr>
            </w:pPr>
            <w:r>
              <w:rPr>
                <w:rFonts w:hint="eastAsia"/>
                <w:bCs/>
                <w:sz w:val="18"/>
                <w:szCs w:val="18"/>
              </w:rPr>
              <w:t xml:space="preserve">  </w:t>
            </w:r>
            <w:r>
              <w:rPr>
                <w:bCs/>
                <w:sz w:val="18"/>
                <w:szCs w:val="18"/>
              </w:rPr>
              <w:t>73.21</w:t>
            </w:r>
          </w:p>
        </w:tc>
        <w:tc>
          <w:tcPr>
            <w:tcW w:w="1116" w:type="dxa"/>
            <w:tcBorders>
              <w:top w:val="single" w:sz="4" w:space="0" w:color="auto"/>
            </w:tcBorders>
          </w:tcPr>
          <w:p w:rsidR="006F0EE3" w:rsidRDefault="006F0EE3" w:rsidP="00DB6CFD">
            <w:pPr>
              <w:spacing w:line="360" w:lineRule="auto"/>
              <w:ind w:firstLineChars="200" w:firstLine="360"/>
              <w:jc w:val="center"/>
              <w:rPr>
                <w:sz w:val="18"/>
                <w:szCs w:val="18"/>
              </w:rPr>
            </w:pPr>
          </w:p>
          <w:p w:rsidR="006F0EE3" w:rsidRDefault="006F0EE3">
            <w:pPr>
              <w:spacing w:line="360" w:lineRule="auto"/>
              <w:jc w:val="center"/>
              <w:rPr>
                <w:bCs/>
                <w:sz w:val="18"/>
                <w:szCs w:val="18"/>
              </w:rPr>
            </w:pPr>
            <w:r>
              <w:rPr>
                <w:sz w:val="18"/>
                <w:szCs w:val="18"/>
              </w:rPr>
              <w:t>1.77</w:t>
            </w:r>
          </w:p>
        </w:tc>
      </w:tr>
      <w:tr w:rsidR="006F0EE3">
        <w:tblPrEx>
          <w:tblCellMar>
            <w:top w:w="0" w:type="dxa"/>
            <w:bottom w:w="0" w:type="dxa"/>
          </w:tblCellMar>
        </w:tblPrEx>
        <w:trPr>
          <w:trHeight w:val="90"/>
        </w:trPr>
        <w:tc>
          <w:tcPr>
            <w:tcW w:w="1489" w:type="dxa"/>
            <w:tcBorders>
              <w:tl2br w:val="nil"/>
              <w:tr2bl w:val="nil"/>
            </w:tcBorders>
          </w:tcPr>
          <w:p w:rsidR="006F0EE3" w:rsidRDefault="006F0EE3">
            <w:pPr>
              <w:spacing w:line="360" w:lineRule="auto"/>
              <w:rPr>
                <w:bCs/>
                <w:sz w:val="18"/>
                <w:szCs w:val="18"/>
              </w:rPr>
            </w:pPr>
            <w:r>
              <w:rPr>
                <w:sz w:val="18"/>
                <w:szCs w:val="18"/>
              </w:rPr>
              <w:t>王灵镇</w:t>
            </w:r>
            <w:r>
              <w:rPr>
                <w:sz w:val="18"/>
                <w:szCs w:val="18"/>
              </w:rPr>
              <w:t>Wang Ling Town</w:t>
            </w:r>
          </w:p>
        </w:tc>
        <w:tc>
          <w:tcPr>
            <w:tcW w:w="1164" w:type="dxa"/>
            <w:tcBorders>
              <w:tl2br w:val="nil"/>
              <w:tr2bl w:val="nil"/>
            </w:tcBorders>
          </w:tcPr>
          <w:p w:rsidR="006F0EE3" w:rsidRDefault="006F0EE3">
            <w:pPr>
              <w:spacing w:line="360" w:lineRule="auto"/>
              <w:jc w:val="center"/>
              <w:rPr>
                <w:bCs/>
                <w:sz w:val="18"/>
                <w:szCs w:val="18"/>
              </w:rPr>
            </w:pPr>
          </w:p>
          <w:p w:rsidR="006F0EE3" w:rsidRDefault="006F0EE3">
            <w:pPr>
              <w:spacing w:line="360" w:lineRule="auto"/>
              <w:jc w:val="center"/>
              <w:rPr>
                <w:bCs/>
                <w:sz w:val="18"/>
                <w:szCs w:val="18"/>
              </w:rPr>
            </w:pPr>
            <w:r>
              <w:rPr>
                <w:bCs/>
                <w:sz w:val="18"/>
                <w:szCs w:val="18"/>
              </w:rPr>
              <w:t>41</w:t>
            </w:r>
          </w:p>
        </w:tc>
        <w:tc>
          <w:tcPr>
            <w:tcW w:w="1166" w:type="dxa"/>
            <w:tcBorders>
              <w:tl2br w:val="nil"/>
              <w:tr2bl w:val="nil"/>
            </w:tcBorders>
          </w:tcPr>
          <w:p w:rsidR="006F0EE3" w:rsidRDefault="006F0EE3">
            <w:pPr>
              <w:spacing w:line="360" w:lineRule="auto"/>
              <w:jc w:val="center"/>
              <w:rPr>
                <w:bCs/>
                <w:sz w:val="18"/>
                <w:szCs w:val="18"/>
              </w:rPr>
            </w:pPr>
          </w:p>
          <w:p w:rsidR="006F0EE3" w:rsidRDefault="006F0EE3">
            <w:pPr>
              <w:spacing w:line="360" w:lineRule="auto"/>
              <w:rPr>
                <w:bCs/>
                <w:sz w:val="18"/>
                <w:szCs w:val="18"/>
              </w:rPr>
            </w:pPr>
            <w:r>
              <w:rPr>
                <w:rFonts w:hint="eastAsia"/>
                <w:bCs/>
                <w:sz w:val="18"/>
                <w:szCs w:val="18"/>
              </w:rPr>
              <w:t xml:space="preserve">   </w:t>
            </w:r>
            <w:r>
              <w:rPr>
                <w:bCs/>
                <w:sz w:val="18"/>
                <w:szCs w:val="18"/>
              </w:rPr>
              <w:t>24</w:t>
            </w:r>
          </w:p>
        </w:tc>
        <w:tc>
          <w:tcPr>
            <w:tcW w:w="1166" w:type="dxa"/>
            <w:tcBorders>
              <w:tl2br w:val="nil"/>
              <w:tr2bl w:val="nil"/>
            </w:tcBorders>
          </w:tcPr>
          <w:p w:rsidR="006F0EE3" w:rsidRDefault="006F0EE3">
            <w:pPr>
              <w:spacing w:line="360" w:lineRule="auto"/>
              <w:jc w:val="center"/>
              <w:rPr>
                <w:sz w:val="18"/>
                <w:szCs w:val="18"/>
              </w:rPr>
            </w:pPr>
          </w:p>
          <w:p w:rsidR="006F0EE3" w:rsidRDefault="006F0EE3">
            <w:pPr>
              <w:spacing w:line="360" w:lineRule="auto"/>
              <w:rPr>
                <w:bCs/>
                <w:sz w:val="18"/>
                <w:szCs w:val="18"/>
              </w:rPr>
            </w:pPr>
            <w:r>
              <w:rPr>
                <w:sz w:val="18"/>
                <w:szCs w:val="18"/>
              </w:rPr>
              <w:t xml:space="preserve">235.3 </w:t>
            </w:r>
          </w:p>
        </w:tc>
        <w:tc>
          <w:tcPr>
            <w:tcW w:w="1167" w:type="dxa"/>
            <w:tcBorders>
              <w:tl2br w:val="nil"/>
              <w:tr2bl w:val="nil"/>
            </w:tcBorders>
          </w:tcPr>
          <w:p w:rsidR="006F0EE3" w:rsidRDefault="006F0EE3">
            <w:pPr>
              <w:spacing w:line="360" w:lineRule="auto"/>
              <w:jc w:val="center"/>
              <w:rPr>
                <w:bCs/>
                <w:sz w:val="18"/>
                <w:szCs w:val="18"/>
              </w:rPr>
            </w:pPr>
          </w:p>
          <w:p w:rsidR="006F0EE3" w:rsidRDefault="006F0EE3">
            <w:pPr>
              <w:spacing w:line="360" w:lineRule="auto"/>
              <w:rPr>
                <w:bCs/>
                <w:sz w:val="18"/>
                <w:szCs w:val="18"/>
              </w:rPr>
            </w:pPr>
            <w:r>
              <w:rPr>
                <w:bCs/>
                <w:sz w:val="18"/>
                <w:szCs w:val="18"/>
              </w:rPr>
              <w:t>1</w:t>
            </w:r>
            <w:r>
              <w:rPr>
                <w:rFonts w:hint="eastAsia"/>
                <w:bCs/>
                <w:sz w:val="18"/>
                <w:szCs w:val="18"/>
              </w:rPr>
              <w:t>～</w:t>
            </w:r>
            <w:r>
              <w:rPr>
                <w:bCs/>
                <w:sz w:val="18"/>
                <w:szCs w:val="18"/>
              </w:rPr>
              <w:t>366</w:t>
            </w:r>
          </w:p>
        </w:tc>
        <w:tc>
          <w:tcPr>
            <w:tcW w:w="1166" w:type="dxa"/>
            <w:tcBorders>
              <w:tl2br w:val="nil"/>
              <w:tr2bl w:val="nil"/>
            </w:tcBorders>
          </w:tcPr>
          <w:p w:rsidR="006F0EE3" w:rsidRDefault="006F0EE3" w:rsidP="00DB6CFD">
            <w:pPr>
              <w:spacing w:line="360" w:lineRule="auto"/>
              <w:ind w:firstLineChars="200" w:firstLine="360"/>
              <w:jc w:val="center"/>
              <w:rPr>
                <w:sz w:val="18"/>
                <w:szCs w:val="18"/>
              </w:rPr>
            </w:pPr>
            <w:r>
              <w:rPr>
                <w:sz w:val="18"/>
                <w:szCs w:val="18"/>
              </w:rPr>
              <w:t xml:space="preserve"> </w:t>
            </w:r>
          </w:p>
          <w:p w:rsidR="006F0EE3" w:rsidRDefault="006F0EE3">
            <w:pPr>
              <w:spacing w:line="360" w:lineRule="auto"/>
              <w:rPr>
                <w:bCs/>
                <w:sz w:val="18"/>
                <w:szCs w:val="18"/>
              </w:rPr>
            </w:pPr>
            <w:r>
              <w:rPr>
                <w:rFonts w:hint="eastAsia"/>
                <w:sz w:val="18"/>
                <w:szCs w:val="18"/>
              </w:rPr>
              <w:t xml:space="preserve">   </w:t>
            </w:r>
            <w:r>
              <w:rPr>
                <w:sz w:val="18"/>
                <w:szCs w:val="18"/>
              </w:rPr>
              <w:t xml:space="preserve">1386 </w:t>
            </w:r>
          </w:p>
        </w:tc>
        <w:tc>
          <w:tcPr>
            <w:tcW w:w="1166" w:type="dxa"/>
            <w:tcBorders>
              <w:tl2br w:val="nil"/>
              <w:tr2bl w:val="nil"/>
            </w:tcBorders>
          </w:tcPr>
          <w:p w:rsidR="006F0EE3" w:rsidRDefault="006F0EE3">
            <w:pPr>
              <w:spacing w:line="360" w:lineRule="auto"/>
              <w:jc w:val="center"/>
              <w:rPr>
                <w:bCs/>
                <w:sz w:val="18"/>
                <w:szCs w:val="18"/>
              </w:rPr>
            </w:pPr>
          </w:p>
          <w:p w:rsidR="006F0EE3" w:rsidRDefault="006F0EE3">
            <w:pPr>
              <w:spacing w:line="360" w:lineRule="auto"/>
              <w:rPr>
                <w:bCs/>
                <w:sz w:val="18"/>
                <w:szCs w:val="18"/>
              </w:rPr>
            </w:pPr>
            <w:r>
              <w:rPr>
                <w:rFonts w:hint="eastAsia"/>
                <w:bCs/>
                <w:sz w:val="18"/>
                <w:szCs w:val="18"/>
              </w:rPr>
              <w:t xml:space="preserve">  </w:t>
            </w:r>
            <w:r>
              <w:rPr>
                <w:bCs/>
                <w:sz w:val="18"/>
                <w:szCs w:val="18"/>
              </w:rPr>
              <w:t>58.53</w:t>
            </w:r>
          </w:p>
        </w:tc>
        <w:tc>
          <w:tcPr>
            <w:tcW w:w="1116" w:type="dxa"/>
            <w:tcBorders>
              <w:tl2br w:val="nil"/>
              <w:tr2bl w:val="nil"/>
            </w:tcBorders>
          </w:tcPr>
          <w:p w:rsidR="006F0EE3" w:rsidRDefault="006F0EE3" w:rsidP="00DB6CFD">
            <w:pPr>
              <w:spacing w:line="360" w:lineRule="auto"/>
              <w:ind w:firstLineChars="200" w:firstLine="360"/>
              <w:jc w:val="center"/>
              <w:rPr>
                <w:sz w:val="18"/>
                <w:szCs w:val="18"/>
              </w:rPr>
            </w:pPr>
          </w:p>
          <w:p w:rsidR="006F0EE3" w:rsidRDefault="006F0EE3">
            <w:pPr>
              <w:spacing w:line="360" w:lineRule="auto"/>
              <w:jc w:val="center"/>
              <w:rPr>
                <w:bCs/>
                <w:sz w:val="18"/>
                <w:szCs w:val="18"/>
              </w:rPr>
            </w:pPr>
            <w:r>
              <w:rPr>
                <w:sz w:val="18"/>
                <w:szCs w:val="18"/>
              </w:rPr>
              <w:t xml:space="preserve">5.89 </w:t>
            </w:r>
          </w:p>
        </w:tc>
      </w:tr>
      <w:tr w:rsidR="006F0EE3">
        <w:tblPrEx>
          <w:tblCellMar>
            <w:top w:w="0" w:type="dxa"/>
            <w:bottom w:w="0" w:type="dxa"/>
          </w:tblCellMar>
        </w:tblPrEx>
        <w:trPr>
          <w:trHeight w:val="90"/>
        </w:trPr>
        <w:tc>
          <w:tcPr>
            <w:tcW w:w="1489" w:type="dxa"/>
            <w:tcBorders>
              <w:tl2br w:val="nil"/>
              <w:tr2bl w:val="nil"/>
            </w:tcBorders>
          </w:tcPr>
          <w:p w:rsidR="006F0EE3" w:rsidRDefault="006F0EE3">
            <w:pPr>
              <w:spacing w:line="360" w:lineRule="auto"/>
              <w:rPr>
                <w:sz w:val="18"/>
                <w:szCs w:val="18"/>
              </w:rPr>
            </w:pPr>
            <w:r>
              <w:rPr>
                <w:sz w:val="18"/>
                <w:szCs w:val="18"/>
              </w:rPr>
              <w:t>合</w:t>
            </w:r>
            <w:r>
              <w:rPr>
                <w:sz w:val="18"/>
                <w:szCs w:val="18"/>
              </w:rPr>
              <w:t xml:space="preserve"> </w:t>
            </w:r>
            <w:r>
              <w:rPr>
                <w:sz w:val="18"/>
                <w:szCs w:val="18"/>
              </w:rPr>
              <w:t>计</w:t>
            </w:r>
            <w:r>
              <w:rPr>
                <w:sz w:val="18"/>
                <w:szCs w:val="18"/>
              </w:rPr>
              <w:t xml:space="preserve"> </w:t>
            </w:r>
          </w:p>
          <w:p w:rsidR="006F0EE3" w:rsidRDefault="006F0EE3">
            <w:pPr>
              <w:spacing w:line="360" w:lineRule="auto"/>
              <w:rPr>
                <w:bCs/>
                <w:sz w:val="18"/>
                <w:szCs w:val="18"/>
              </w:rPr>
            </w:pPr>
            <w:r>
              <w:rPr>
                <w:sz w:val="18"/>
                <w:szCs w:val="18"/>
              </w:rPr>
              <w:t>Total</w:t>
            </w:r>
          </w:p>
        </w:tc>
        <w:tc>
          <w:tcPr>
            <w:tcW w:w="1164" w:type="dxa"/>
            <w:tcBorders>
              <w:tl2br w:val="nil"/>
              <w:tr2bl w:val="nil"/>
            </w:tcBorders>
          </w:tcPr>
          <w:p w:rsidR="006F0EE3" w:rsidRDefault="006F0EE3">
            <w:pPr>
              <w:spacing w:line="360" w:lineRule="auto"/>
              <w:jc w:val="center"/>
              <w:rPr>
                <w:bCs/>
                <w:sz w:val="18"/>
                <w:szCs w:val="18"/>
              </w:rPr>
            </w:pPr>
          </w:p>
          <w:p w:rsidR="006F0EE3" w:rsidRDefault="006F0EE3">
            <w:pPr>
              <w:spacing w:line="360" w:lineRule="auto"/>
              <w:jc w:val="center"/>
              <w:rPr>
                <w:bCs/>
                <w:sz w:val="18"/>
                <w:szCs w:val="18"/>
              </w:rPr>
            </w:pPr>
            <w:r>
              <w:rPr>
                <w:bCs/>
                <w:sz w:val="18"/>
                <w:szCs w:val="18"/>
              </w:rPr>
              <w:t>97</w:t>
            </w:r>
          </w:p>
        </w:tc>
        <w:tc>
          <w:tcPr>
            <w:tcW w:w="1166" w:type="dxa"/>
            <w:tcBorders>
              <w:tl2br w:val="nil"/>
              <w:tr2bl w:val="nil"/>
            </w:tcBorders>
          </w:tcPr>
          <w:p w:rsidR="006F0EE3" w:rsidRDefault="006F0EE3">
            <w:pPr>
              <w:spacing w:line="360" w:lineRule="auto"/>
              <w:rPr>
                <w:bCs/>
                <w:sz w:val="18"/>
                <w:szCs w:val="18"/>
              </w:rPr>
            </w:pPr>
          </w:p>
          <w:p w:rsidR="006F0EE3" w:rsidRDefault="006F0EE3">
            <w:pPr>
              <w:spacing w:line="360" w:lineRule="auto"/>
              <w:rPr>
                <w:bCs/>
                <w:sz w:val="18"/>
                <w:szCs w:val="18"/>
              </w:rPr>
            </w:pPr>
            <w:r>
              <w:rPr>
                <w:rFonts w:hint="eastAsia"/>
                <w:bCs/>
                <w:sz w:val="18"/>
                <w:szCs w:val="18"/>
              </w:rPr>
              <w:t xml:space="preserve">   </w:t>
            </w:r>
            <w:r>
              <w:rPr>
                <w:bCs/>
                <w:sz w:val="18"/>
                <w:szCs w:val="18"/>
              </w:rPr>
              <w:t>65</w:t>
            </w:r>
          </w:p>
        </w:tc>
        <w:tc>
          <w:tcPr>
            <w:tcW w:w="1166" w:type="dxa"/>
            <w:tcBorders>
              <w:tl2br w:val="nil"/>
              <w:tr2bl w:val="nil"/>
            </w:tcBorders>
          </w:tcPr>
          <w:p w:rsidR="006F0EE3" w:rsidRDefault="006F0EE3">
            <w:pPr>
              <w:spacing w:line="360" w:lineRule="auto"/>
              <w:jc w:val="center"/>
              <w:rPr>
                <w:sz w:val="18"/>
                <w:szCs w:val="18"/>
              </w:rPr>
            </w:pPr>
          </w:p>
          <w:p w:rsidR="006F0EE3" w:rsidRDefault="006F0EE3">
            <w:pPr>
              <w:spacing w:line="360" w:lineRule="auto"/>
              <w:rPr>
                <w:bCs/>
                <w:sz w:val="18"/>
                <w:szCs w:val="18"/>
              </w:rPr>
            </w:pPr>
            <w:r>
              <w:rPr>
                <w:sz w:val="18"/>
                <w:szCs w:val="18"/>
              </w:rPr>
              <w:t>717.5</w:t>
            </w:r>
          </w:p>
        </w:tc>
        <w:tc>
          <w:tcPr>
            <w:tcW w:w="1167" w:type="dxa"/>
            <w:tcBorders>
              <w:tl2br w:val="nil"/>
              <w:tr2bl w:val="nil"/>
            </w:tcBorders>
          </w:tcPr>
          <w:p w:rsidR="006F0EE3" w:rsidRDefault="006F0EE3">
            <w:pPr>
              <w:spacing w:line="360" w:lineRule="auto"/>
              <w:jc w:val="center"/>
              <w:rPr>
                <w:bCs/>
                <w:sz w:val="18"/>
                <w:szCs w:val="18"/>
              </w:rPr>
            </w:pPr>
          </w:p>
          <w:p w:rsidR="006F0EE3" w:rsidRDefault="006F0EE3">
            <w:pPr>
              <w:spacing w:line="360" w:lineRule="auto"/>
              <w:rPr>
                <w:bCs/>
                <w:sz w:val="18"/>
                <w:szCs w:val="18"/>
              </w:rPr>
            </w:pPr>
            <w:r>
              <w:rPr>
                <w:bCs/>
                <w:sz w:val="18"/>
                <w:szCs w:val="18"/>
              </w:rPr>
              <w:t>1</w:t>
            </w:r>
            <w:r>
              <w:rPr>
                <w:rFonts w:hint="eastAsia"/>
                <w:bCs/>
                <w:sz w:val="18"/>
                <w:szCs w:val="18"/>
              </w:rPr>
              <w:t>～</w:t>
            </w:r>
            <w:r>
              <w:rPr>
                <w:bCs/>
                <w:sz w:val="18"/>
                <w:szCs w:val="18"/>
              </w:rPr>
              <w:t>366</w:t>
            </w:r>
          </w:p>
        </w:tc>
        <w:tc>
          <w:tcPr>
            <w:tcW w:w="1166" w:type="dxa"/>
            <w:tcBorders>
              <w:tl2br w:val="nil"/>
              <w:tr2bl w:val="nil"/>
            </w:tcBorders>
          </w:tcPr>
          <w:p w:rsidR="006F0EE3" w:rsidRDefault="006F0EE3" w:rsidP="00DB6CFD">
            <w:pPr>
              <w:spacing w:line="360" w:lineRule="auto"/>
              <w:ind w:firstLineChars="200" w:firstLine="360"/>
              <w:jc w:val="center"/>
              <w:rPr>
                <w:sz w:val="18"/>
                <w:szCs w:val="18"/>
              </w:rPr>
            </w:pPr>
          </w:p>
          <w:p w:rsidR="006F0EE3" w:rsidRDefault="006F0EE3">
            <w:pPr>
              <w:spacing w:line="360" w:lineRule="auto"/>
              <w:rPr>
                <w:bCs/>
                <w:sz w:val="18"/>
                <w:szCs w:val="18"/>
              </w:rPr>
            </w:pPr>
            <w:r>
              <w:rPr>
                <w:rFonts w:hint="eastAsia"/>
                <w:sz w:val="18"/>
                <w:szCs w:val="18"/>
              </w:rPr>
              <w:t xml:space="preserve">   </w:t>
            </w:r>
            <w:r>
              <w:rPr>
                <w:sz w:val="18"/>
                <w:szCs w:val="18"/>
              </w:rPr>
              <w:t xml:space="preserve">2241 </w:t>
            </w:r>
          </w:p>
        </w:tc>
        <w:tc>
          <w:tcPr>
            <w:tcW w:w="1166" w:type="dxa"/>
            <w:tcBorders>
              <w:tl2br w:val="nil"/>
              <w:tr2bl w:val="nil"/>
            </w:tcBorders>
          </w:tcPr>
          <w:p w:rsidR="006F0EE3" w:rsidRDefault="006F0EE3">
            <w:pPr>
              <w:spacing w:line="360" w:lineRule="auto"/>
              <w:jc w:val="center"/>
              <w:rPr>
                <w:bCs/>
                <w:sz w:val="18"/>
                <w:szCs w:val="18"/>
              </w:rPr>
            </w:pPr>
          </w:p>
          <w:p w:rsidR="006F0EE3" w:rsidRDefault="006F0EE3">
            <w:pPr>
              <w:spacing w:line="360" w:lineRule="auto"/>
              <w:rPr>
                <w:bCs/>
                <w:sz w:val="18"/>
                <w:szCs w:val="18"/>
              </w:rPr>
            </w:pPr>
            <w:r>
              <w:rPr>
                <w:rFonts w:hint="eastAsia"/>
                <w:bCs/>
                <w:sz w:val="18"/>
                <w:szCs w:val="18"/>
              </w:rPr>
              <w:t xml:space="preserve">  </w:t>
            </w:r>
            <w:r>
              <w:rPr>
                <w:bCs/>
                <w:sz w:val="18"/>
                <w:szCs w:val="18"/>
              </w:rPr>
              <w:t>67.01</w:t>
            </w:r>
          </w:p>
        </w:tc>
        <w:tc>
          <w:tcPr>
            <w:tcW w:w="1116" w:type="dxa"/>
            <w:tcBorders>
              <w:tl2br w:val="nil"/>
              <w:tr2bl w:val="nil"/>
            </w:tcBorders>
          </w:tcPr>
          <w:p w:rsidR="006F0EE3" w:rsidRDefault="006F0EE3" w:rsidP="00DB6CFD">
            <w:pPr>
              <w:spacing w:line="360" w:lineRule="auto"/>
              <w:ind w:firstLineChars="200" w:firstLine="360"/>
              <w:jc w:val="center"/>
              <w:rPr>
                <w:sz w:val="18"/>
                <w:szCs w:val="18"/>
              </w:rPr>
            </w:pPr>
          </w:p>
          <w:p w:rsidR="006F0EE3" w:rsidRDefault="006F0EE3">
            <w:pPr>
              <w:spacing w:line="360" w:lineRule="auto"/>
              <w:jc w:val="center"/>
              <w:rPr>
                <w:sz w:val="18"/>
                <w:szCs w:val="18"/>
              </w:rPr>
            </w:pPr>
            <w:r>
              <w:rPr>
                <w:sz w:val="18"/>
                <w:szCs w:val="18"/>
              </w:rPr>
              <w:t xml:space="preserve">3.12 </w:t>
            </w:r>
          </w:p>
        </w:tc>
      </w:tr>
    </w:tbl>
    <w:p w:rsidR="006F0EE3" w:rsidRDefault="006F0EE3">
      <w:pPr>
        <w:autoSpaceDN w:val="0"/>
        <w:spacing w:beforeAutospacing="1" w:afterAutospacing="1"/>
        <w:rPr>
          <w:rFonts w:ascii="宋体" w:hAnsi="宋体"/>
          <w:sz w:val="24"/>
        </w:rPr>
      </w:pPr>
    </w:p>
    <w:p w:rsidR="006F0EE3" w:rsidRDefault="00223405">
      <w:pPr>
        <w:autoSpaceDN w:val="0"/>
        <w:spacing w:beforeAutospacing="1" w:afterAutospacing="1"/>
        <w:rPr>
          <w:rFonts w:ascii="宋体" w:hAnsi="宋体"/>
          <w:sz w:val="24"/>
        </w:rPr>
      </w:pPr>
      <w:r>
        <w:rPr>
          <w:rFonts w:ascii="宋体" w:hAnsi="宋体"/>
          <w:noProof/>
          <w:sz w:val="24"/>
        </w:rPr>
        <w:drawing>
          <wp:inline distT="0" distB="0" distL="0" distR="0">
            <wp:extent cx="1104900" cy="9906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srcRect/>
                    <a:stretch>
                      <a:fillRect/>
                    </a:stretch>
                  </pic:blipFill>
                  <pic:spPr bwMode="auto">
                    <a:xfrm>
                      <a:off x="0" y="0"/>
                      <a:ext cx="1104900" cy="990600"/>
                    </a:xfrm>
                    <a:prstGeom prst="rect">
                      <a:avLst/>
                    </a:prstGeom>
                    <a:noFill/>
                    <a:ln w="9525">
                      <a:noFill/>
                      <a:miter lim="800000"/>
                      <a:headEnd/>
                      <a:tailEnd/>
                    </a:ln>
                  </pic:spPr>
                </pic:pic>
              </a:graphicData>
            </a:graphic>
          </wp:inline>
        </w:drawing>
      </w:r>
      <w:r w:rsidR="006F0EE3">
        <w:rPr>
          <w:rFonts w:ascii="宋体" w:hAnsi="宋体" w:hint="eastAsia"/>
          <w:sz w:val="24"/>
        </w:rPr>
        <w:t xml:space="preserve">    </w:t>
      </w:r>
      <w:r>
        <w:rPr>
          <w:rFonts w:ascii="宋体" w:hAnsi="宋体"/>
          <w:noProof/>
          <w:sz w:val="24"/>
        </w:rPr>
        <w:drawing>
          <wp:inline distT="0" distB="0" distL="0" distR="0">
            <wp:extent cx="1028700" cy="1019175"/>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8"/>
                    <a:srcRect/>
                    <a:stretch>
                      <a:fillRect/>
                    </a:stretch>
                  </pic:blipFill>
                  <pic:spPr bwMode="auto">
                    <a:xfrm>
                      <a:off x="0" y="0"/>
                      <a:ext cx="1028700" cy="1019175"/>
                    </a:xfrm>
                    <a:prstGeom prst="rect">
                      <a:avLst/>
                    </a:prstGeom>
                    <a:noFill/>
                    <a:ln w="9525">
                      <a:noFill/>
                      <a:miter lim="800000"/>
                      <a:headEnd/>
                      <a:tailEnd/>
                    </a:ln>
                  </pic:spPr>
                </pic:pic>
              </a:graphicData>
            </a:graphic>
          </wp:inline>
        </w:drawing>
      </w:r>
      <w:r w:rsidR="006F0EE3">
        <w:rPr>
          <w:rFonts w:ascii="宋体" w:hAnsi="宋体" w:hint="eastAsia"/>
          <w:sz w:val="24"/>
        </w:rPr>
        <w:t xml:space="preserve">    </w:t>
      </w:r>
      <w:r>
        <w:rPr>
          <w:rFonts w:ascii="宋体" w:hAnsi="宋体"/>
          <w:noProof/>
          <w:sz w:val="24"/>
        </w:rPr>
        <w:drawing>
          <wp:inline distT="0" distB="0" distL="0" distR="0">
            <wp:extent cx="1057275" cy="1019175"/>
            <wp:effectExtent l="1905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9"/>
                    <a:srcRect/>
                    <a:stretch>
                      <a:fillRect/>
                    </a:stretch>
                  </pic:blipFill>
                  <pic:spPr bwMode="auto">
                    <a:xfrm>
                      <a:off x="0" y="0"/>
                      <a:ext cx="1057275" cy="1019175"/>
                    </a:xfrm>
                    <a:prstGeom prst="rect">
                      <a:avLst/>
                    </a:prstGeom>
                    <a:noFill/>
                    <a:ln w="9525">
                      <a:noFill/>
                      <a:miter lim="800000"/>
                      <a:headEnd/>
                      <a:tailEnd/>
                    </a:ln>
                  </pic:spPr>
                </pic:pic>
              </a:graphicData>
            </a:graphic>
          </wp:inline>
        </w:drawing>
      </w:r>
      <w:r w:rsidR="006F0EE3">
        <w:rPr>
          <w:rFonts w:ascii="宋体" w:hAnsi="宋体" w:hint="eastAsia"/>
          <w:sz w:val="24"/>
        </w:rPr>
        <w:t xml:space="preserve">    </w:t>
      </w:r>
      <w:r>
        <w:rPr>
          <w:rFonts w:ascii="宋体" w:hAnsi="宋体"/>
          <w:noProof/>
          <w:sz w:val="24"/>
        </w:rPr>
        <w:drawing>
          <wp:inline distT="0" distB="0" distL="0" distR="0">
            <wp:extent cx="971550" cy="101917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0"/>
                    <a:srcRect/>
                    <a:stretch>
                      <a:fillRect/>
                    </a:stretch>
                  </pic:blipFill>
                  <pic:spPr bwMode="auto">
                    <a:xfrm>
                      <a:off x="0" y="0"/>
                      <a:ext cx="971550" cy="1019175"/>
                    </a:xfrm>
                    <a:prstGeom prst="rect">
                      <a:avLst/>
                    </a:prstGeom>
                    <a:noFill/>
                    <a:ln w="9525">
                      <a:noFill/>
                      <a:miter lim="800000"/>
                      <a:headEnd/>
                      <a:tailEnd/>
                    </a:ln>
                  </pic:spPr>
                </pic:pic>
              </a:graphicData>
            </a:graphic>
          </wp:inline>
        </w:drawing>
      </w:r>
    </w:p>
    <w:p w:rsidR="006F0EE3" w:rsidRDefault="006F0EE3">
      <w:pPr>
        <w:autoSpaceDE w:val="0"/>
        <w:autoSpaceDN w:val="0"/>
        <w:spacing w:line="360" w:lineRule="auto"/>
        <w:jc w:val="left"/>
        <w:rPr>
          <w:rFonts w:ascii="宋体" w:hAnsi="宋体" w:cs="宋体" w:hint="eastAsia"/>
          <w:kern w:val="0"/>
          <w:sz w:val="24"/>
        </w:rPr>
      </w:pPr>
      <w:r>
        <w:rPr>
          <w:rFonts w:ascii="宋体" w:hAnsi="宋体" w:cs="宋体" w:hint="eastAsia"/>
          <w:kern w:val="0"/>
          <w:sz w:val="18"/>
          <w:szCs w:val="18"/>
        </w:rPr>
        <w:t xml:space="preserve">       </w:t>
      </w:r>
      <w:r>
        <w:rPr>
          <w:rFonts w:ascii="宋体" w:hAnsi="宋体" w:cs="宋体" w:hint="eastAsia"/>
          <w:kern w:val="0"/>
          <w:sz w:val="24"/>
        </w:rPr>
        <w:t xml:space="preserve"> A                  B                 C                D</w:t>
      </w:r>
    </w:p>
    <w:p w:rsidR="006F0EE3" w:rsidRDefault="006F0EE3">
      <w:pPr>
        <w:spacing w:line="360" w:lineRule="auto"/>
        <w:rPr>
          <w:rFonts w:ascii="宋体" w:hAnsi="宋体" w:cs="宋体" w:hint="eastAsia"/>
          <w:kern w:val="0"/>
          <w:sz w:val="24"/>
        </w:rPr>
      </w:pPr>
      <w:r>
        <w:rPr>
          <w:rFonts w:ascii="宋体" w:hAnsi="宋体" w:cs="宋体" w:hint="eastAsia"/>
          <w:kern w:val="0"/>
          <w:sz w:val="24"/>
        </w:rPr>
        <w:t>A 为蚯蚓鱼鳃内检出的囊蚴（10</w:t>
      </w:r>
      <w:r>
        <w:rPr>
          <w:rFonts w:ascii="Arial" w:hAnsi="Arial" w:cs="Arial"/>
          <w:kern w:val="0"/>
          <w:sz w:val="24"/>
        </w:rPr>
        <w:t>×</w:t>
      </w:r>
      <w:r>
        <w:rPr>
          <w:rFonts w:ascii="宋体" w:hAnsi="宋体" w:cs="宋体" w:hint="eastAsia"/>
          <w:kern w:val="0"/>
          <w:sz w:val="24"/>
        </w:rPr>
        <w:t>）；  B 为台湾棘带吸虫囊蚴（40</w:t>
      </w:r>
      <w:r>
        <w:rPr>
          <w:rFonts w:ascii="Arial" w:hAnsi="Arial" w:cs="Arial"/>
          <w:kern w:val="0"/>
          <w:sz w:val="24"/>
        </w:rPr>
        <w:t>×</w:t>
      </w:r>
      <w:r>
        <w:rPr>
          <w:rFonts w:ascii="宋体" w:hAnsi="宋体" w:cs="宋体" w:hint="eastAsia"/>
          <w:kern w:val="0"/>
          <w:sz w:val="24"/>
        </w:rPr>
        <w:t>）；</w:t>
      </w:r>
    </w:p>
    <w:p w:rsidR="006F0EE3" w:rsidRDefault="006F0EE3">
      <w:pPr>
        <w:spacing w:line="360" w:lineRule="auto"/>
        <w:rPr>
          <w:rFonts w:ascii="宋体" w:hAnsi="宋体" w:cs="宋体" w:hint="eastAsia"/>
          <w:bCs/>
          <w:sz w:val="24"/>
        </w:rPr>
      </w:pPr>
      <w:r>
        <w:rPr>
          <w:rFonts w:ascii="宋体" w:hAnsi="宋体" w:cs="宋体" w:hint="eastAsia"/>
          <w:kern w:val="0"/>
          <w:sz w:val="24"/>
        </w:rPr>
        <w:t>C 为台湾棘带吸虫虫卵（40</w:t>
      </w:r>
      <w:r>
        <w:rPr>
          <w:rFonts w:ascii="Arial" w:hAnsi="Arial" w:cs="Arial"/>
          <w:kern w:val="0"/>
          <w:sz w:val="24"/>
        </w:rPr>
        <w:t>×</w:t>
      </w:r>
      <w:r>
        <w:rPr>
          <w:rFonts w:ascii="宋体" w:hAnsi="宋体" w:cs="宋体" w:hint="eastAsia"/>
          <w:kern w:val="0"/>
          <w:sz w:val="24"/>
        </w:rPr>
        <w:t>）；        D 为运动中的台湾棘带吸虫成虫（10</w:t>
      </w:r>
      <w:r>
        <w:rPr>
          <w:rFonts w:ascii="Arial" w:hAnsi="Arial" w:cs="Arial"/>
          <w:kern w:val="0"/>
          <w:sz w:val="24"/>
        </w:rPr>
        <w:t>×</w:t>
      </w:r>
      <w:r>
        <w:rPr>
          <w:rFonts w:ascii="宋体" w:hAnsi="宋体" w:cs="宋体" w:hint="eastAsia"/>
          <w:kern w:val="0"/>
          <w:sz w:val="24"/>
        </w:rPr>
        <w:t>）；</w:t>
      </w:r>
    </w:p>
    <w:p w:rsidR="006F0EE3" w:rsidRDefault="006F0EE3">
      <w:pPr>
        <w:autoSpaceDE w:val="0"/>
        <w:autoSpaceDN w:val="0"/>
        <w:spacing w:line="360" w:lineRule="auto"/>
        <w:jc w:val="center"/>
        <w:rPr>
          <w:rFonts w:ascii="宋体" w:hAnsi="宋体" w:cs="宋体" w:hint="eastAsia"/>
          <w:kern w:val="0"/>
          <w:sz w:val="24"/>
        </w:rPr>
      </w:pPr>
      <w:r>
        <w:rPr>
          <w:rFonts w:ascii="宋体" w:hAnsi="宋体" w:cs="宋体" w:hint="eastAsia"/>
          <w:kern w:val="0"/>
          <w:sz w:val="24"/>
        </w:rPr>
        <w:t>图1 台湾棘带吸虫光学显微镜下形态图</w:t>
      </w:r>
    </w:p>
    <w:p w:rsidR="006F0EE3" w:rsidRDefault="006F0EE3">
      <w:pPr>
        <w:spacing w:line="360" w:lineRule="auto"/>
        <w:jc w:val="left"/>
        <w:rPr>
          <w:sz w:val="24"/>
        </w:rPr>
      </w:pPr>
      <w:r>
        <w:rPr>
          <w:sz w:val="24"/>
        </w:rPr>
        <w:t xml:space="preserve">A </w:t>
      </w:r>
      <w:r>
        <w:rPr>
          <w:color w:val="222222"/>
          <w:sz w:val="24"/>
        </w:rPr>
        <w:t xml:space="preserve">Metacercariae of </w:t>
      </w:r>
      <w:r>
        <w:rPr>
          <w:i/>
          <w:iCs/>
          <w:color w:val="222222"/>
          <w:sz w:val="24"/>
        </w:rPr>
        <w:t>C.f</w:t>
      </w:r>
      <w:r>
        <w:rPr>
          <w:i/>
          <w:iCs/>
          <w:sz w:val="24"/>
        </w:rPr>
        <w:t xml:space="preserve">ormosanus </w:t>
      </w:r>
      <w:r>
        <w:rPr>
          <w:sz w:val="24"/>
        </w:rPr>
        <w:t xml:space="preserve">in </w:t>
      </w:r>
      <w:r>
        <w:rPr>
          <w:color w:val="222222"/>
          <w:sz w:val="24"/>
        </w:rPr>
        <w:t>gills of loach</w:t>
      </w:r>
      <w:r>
        <w:rPr>
          <w:kern w:val="0"/>
          <w:sz w:val="24"/>
        </w:rPr>
        <w:t>（</w:t>
      </w:r>
      <w:r>
        <w:rPr>
          <w:kern w:val="0"/>
          <w:sz w:val="24"/>
        </w:rPr>
        <w:t>10×</w:t>
      </w:r>
      <w:r>
        <w:rPr>
          <w:kern w:val="0"/>
          <w:sz w:val="24"/>
        </w:rPr>
        <w:t>）</w:t>
      </w:r>
      <w:r>
        <w:rPr>
          <w:color w:val="222222"/>
          <w:sz w:val="24"/>
        </w:rPr>
        <w:t>；</w:t>
      </w:r>
    </w:p>
    <w:p w:rsidR="006F0EE3" w:rsidRDefault="006F0EE3">
      <w:pPr>
        <w:spacing w:line="360" w:lineRule="auto"/>
        <w:jc w:val="left"/>
        <w:rPr>
          <w:kern w:val="0"/>
          <w:sz w:val="24"/>
        </w:rPr>
      </w:pPr>
      <w:r>
        <w:rPr>
          <w:sz w:val="24"/>
        </w:rPr>
        <w:t xml:space="preserve">B </w:t>
      </w:r>
      <w:r>
        <w:rPr>
          <w:color w:val="222222"/>
          <w:sz w:val="24"/>
        </w:rPr>
        <w:t xml:space="preserve">Metacercariae of </w:t>
      </w:r>
      <w:r>
        <w:rPr>
          <w:i/>
          <w:iCs/>
          <w:color w:val="222222"/>
          <w:sz w:val="24"/>
        </w:rPr>
        <w:t>C.f</w:t>
      </w:r>
      <w:r>
        <w:rPr>
          <w:i/>
          <w:iCs/>
          <w:sz w:val="24"/>
        </w:rPr>
        <w:t>ormosanus</w:t>
      </w:r>
      <w:r>
        <w:rPr>
          <w:kern w:val="0"/>
          <w:sz w:val="24"/>
        </w:rPr>
        <w:t>（</w:t>
      </w:r>
      <w:r>
        <w:rPr>
          <w:kern w:val="0"/>
          <w:sz w:val="24"/>
        </w:rPr>
        <w:t>40×</w:t>
      </w:r>
      <w:r>
        <w:rPr>
          <w:kern w:val="0"/>
          <w:sz w:val="24"/>
        </w:rPr>
        <w:t>）；</w:t>
      </w:r>
      <w:r>
        <w:rPr>
          <w:rFonts w:hint="eastAsia"/>
          <w:kern w:val="0"/>
          <w:sz w:val="24"/>
        </w:rPr>
        <w:t xml:space="preserve"> </w:t>
      </w:r>
      <w:r>
        <w:rPr>
          <w:kern w:val="0"/>
          <w:sz w:val="24"/>
        </w:rPr>
        <w:t xml:space="preserve">C Eggs </w:t>
      </w:r>
      <w:r>
        <w:rPr>
          <w:color w:val="222222"/>
          <w:sz w:val="24"/>
        </w:rPr>
        <w:t>of</w:t>
      </w:r>
      <w:r>
        <w:rPr>
          <w:i/>
          <w:iCs/>
          <w:color w:val="222222"/>
          <w:sz w:val="24"/>
        </w:rPr>
        <w:t xml:space="preserve"> C.f</w:t>
      </w:r>
      <w:r>
        <w:rPr>
          <w:i/>
          <w:iCs/>
          <w:sz w:val="24"/>
        </w:rPr>
        <w:t>ormosanus</w:t>
      </w:r>
      <w:r>
        <w:rPr>
          <w:kern w:val="0"/>
          <w:sz w:val="24"/>
        </w:rPr>
        <w:t>（</w:t>
      </w:r>
      <w:r>
        <w:rPr>
          <w:kern w:val="0"/>
          <w:sz w:val="24"/>
        </w:rPr>
        <w:t>40×</w:t>
      </w:r>
      <w:r>
        <w:rPr>
          <w:kern w:val="0"/>
          <w:sz w:val="24"/>
        </w:rPr>
        <w:t>）；</w:t>
      </w:r>
    </w:p>
    <w:p w:rsidR="006F0EE3" w:rsidRDefault="006F0EE3">
      <w:pPr>
        <w:spacing w:line="360" w:lineRule="auto"/>
        <w:jc w:val="left"/>
        <w:rPr>
          <w:kern w:val="0"/>
          <w:sz w:val="24"/>
        </w:rPr>
      </w:pPr>
      <w:r>
        <w:rPr>
          <w:kern w:val="0"/>
          <w:sz w:val="24"/>
        </w:rPr>
        <w:t xml:space="preserve">D </w:t>
      </w:r>
      <w:r>
        <w:rPr>
          <w:sz w:val="24"/>
        </w:rPr>
        <w:t xml:space="preserve">Movement state of </w:t>
      </w:r>
      <w:r>
        <w:rPr>
          <w:kern w:val="0"/>
          <w:sz w:val="24"/>
        </w:rPr>
        <w:t xml:space="preserve">adult </w:t>
      </w:r>
      <w:r>
        <w:rPr>
          <w:color w:val="222222"/>
          <w:sz w:val="24"/>
        </w:rPr>
        <w:t xml:space="preserve">of </w:t>
      </w:r>
      <w:r>
        <w:rPr>
          <w:i/>
          <w:iCs/>
          <w:color w:val="222222"/>
          <w:sz w:val="24"/>
        </w:rPr>
        <w:t>C.f</w:t>
      </w:r>
      <w:r>
        <w:rPr>
          <w:i/>
          <w:iCs/>
          <w:sz w:val="24"/>
        </w:rPr>
        <w:t>ormosanus</w:t>
      </w:r>
      <w:r>
        <w:rPr>
          <w:kern w:val="0"/>
          <w:sz w:val="24"/>
        </w:rPr>
        <w:t>（</w:t>
      </w:r>
      <w:r>
        <w:rPr>
          <w:kern w:val="0"/>
          <w:sz w:val="24"/>
        </w:rPr>
        <w:t>10×</w:t>
      </w:r>
      <w:r>
        <w:rPr>
          <w:kern w:val="0"/>
          <w:sz w:val="24"/>
        </w:rPr>
        <w:t>）；</w:t>
      </w:r>
    </w:p>
    <w:p w:rsidR="006F0EE3" w:rsidRDefault="006F0EE3">
      <w:pPr>
        <w:autoSpaceDE w:val="0"/>
        <w:autoSpaceDN w:val="0"/>
        <w:spacing w:line="360" w:lineRule="auto"/>
        <w:jc w:val="center"/>
        <w:rPr>
          <w:sz w:val="24"/>
        </w:rPr>
      </w:pPr>
      <w:r>
        <w:rPr>
          <w:sz w:val="24"/>
        </w:rPr>
        <w:t xml:space="preserve">FIG.1 Microscopic morphology chart </w:t>
      </w:r>
      <w:r>
        <w:rPr>
          <w:color w:val="222222"/>
          <w:sz w:val="24"/>
        </w:rPr>
        <w:t xml:space="preserve">of </w:t>
      </w:r>
      <w:r>
        <w:rPr>
          <w:i/>
          <w:iCs/>
          <w:color w:val="222222"/>
          <w:sz w:val="24"/>
        </w:rPr>
        <w:t>C.f</w:t>
      </w:r>
      <w:r>
        <w:rPr>
          <w:i/>
          <w:iCs/>
          <w:sz w:val="24"/>
        </w:rPr>
        <w:t>ormosanus</w:t>
      </w:r>
    </w:p>
    <w:p w:rsidR="006F0EE3" w:rsidRDefault="006F0EE3">
      <w:pPr>
        <w:spacing w:line="360" w:lineRule="auto"/>
        <w:ind w:firstLineChars="200" w:firstLine="480"/>
        <w:jc w:val="center"/>
        <w:rPr>
          <w:rFonts w:ascii="宋体" w:hAnsi="宋体" w:cs="宋体" w:hint="eastAsia"/>
          <w:sz w:val="24"/>
        </w:rPr>
      </w:pPr>
    </w:p>
    <w:p w:rsidR="006F0EE3" w:rsidRDefault="006F0EE3">
      <w:pPr>
        <w:spacing w:line="360" w:lineRule="auto"/>
        <w:ind w:firstLineChars="200" w:firstLine="480"/>
        <w:jc w:val="center"/>
        <w:rPr>
          <w:rFonts w:ascii="宋体" w:hAnsi="宋体" w:cs="宋体" w:hint="eastAsia"/>
          <w:sz w:val="24"/>
        </w:rPr>
      </w:pPr>
    </w:p>
    <w:p w:rsidR="006F0EE3" w:rsidRDefault="006F0EE3">
      <w:pPr>
        <w:spacing w:line="360" w:lineRule="auto"/>
        <w:ind w:firstLineChars="200" w:firstLine="480"/>
        <w:jc w:val="center"/>
        <w:rPr>
          <w:rFonts w:ascii="宋体" w:hAnsi="宋体" w:cs="宋体" w:hint="eastAsia"/>
          <w:sz w:val="24"/>
        </w:rPr>
      </w:pPr>
    </w:p>
    <w:p w:rsidR="006F0EE3" w:rsidRDefault="006F0EE3">
      <w:pPr>
        <w:spacing w:line="360" w:lineRule="auto"/>
        <w:ind w:firstLineChars="200" w:firstLine="480"/>
        <w:jc w:val="center"/>
        <w:rPr>
          <w:rFonts w:ascii="宋体" w:hAnsi="宋体" w:cs="宋体" w:hint="eastAsia"/>
          <w:sz w:val="24"/>
        </w:rPr>
      </w:pPr>
    </w:p>
    <w:p w:rsidR="006F0EE3" w:rsidRDefault="006F0EE3">
      <w:pPr>
        <w:spacing w:line="360" w:lineRule="auto"/>
        <w:ind w:firstLineChars="200" w:firstLine="480"/>
        <w:jc w:val="center"/>
        <w:rPr>
          <w:rFonts w:ascii="宋体" w:hAnsi="宋体" w:cs="宋体" w:hint="eastAsia"/>
          <w:sz w:val="24"/>
        </w:rPr>
      </w:pPr>
      <w:r>
        <w:rPr>
          <w:rFonts w:ascii="宋体" w:hAnsi="宋体" w:cs="宋体" w:hint="eastAsia"/>
          <w:sz w:val="24"/>
        </w:rPr>
        <w:t>表2 检获台湾棘带吸虫成虫情况</w:t>
      </w:r>
    </w:p>
    <w:p w:rsidR="006F0EE3" w:rsidRDefault="006F0EE3">
      <w:pPr>
        <w:spacing w:line="360" w:lineRule="auto"/>
        <w:jc w:val="center"/>
        <w:rPr>
          <w:rFonts w:ascii="宋体" w:hAnsi="宋体" w:cs="宋体" w:hint="eastAsia"/>
          <w:sz w:val="24"/>
        </w:rPr>
      </w:pPr>
      <w:r>
        <w:rPr>
          <w:sz w:val="24"/>
        </w:rPr>
        <w:t xml:space="preserve">Table </w:t>
      </w:r>
      <w:r>
        <w:rPr>
          <w:rFonts w:hint="eastAsia"/>
          <w:sz w:val="24"/>
        </w:rPr>
        <w:t xml:space="preserve">2 Number of </w:t>
      </w:r>
      <w:r>
        <w:rPr>
          <w:rFonts w:hint="eastAsia"/>
          <w:kern w:val="0"/>
          <w:sz w:val="24"/>
        </w:rPr>
        <w:t>a</w:t>
      </w:r>
      <w:r>
        <w:rPr>
          <w:kern w:val="0"/>
          <w:sz w:val="24"/>
        </w:rPr>
        <w:t xml:space="preserve">dult </w:t>
      </w:r>
      <w:r>
        <w:rPr>
          <w:color w:val="222222"/>
          <w:sz w:val="24"/>
        </w:rPr>
        <w:t xml:space="preserve">of </w:t>
      </w:r>
      <w:r>
        <w:rPr>
          <w:i/>
          <w:iCs/>
          <w:color w:val="222222"/>
          <w:sz w:val="24"/>
        </w:rPr>
        <w:t>C.f</w:t>
      </w:r>
      <w:r>
        <w:rPr>
          <w:i/>
          <w:iCs/>
          <w:sz w:val="24"/>
        </w:rPr>
        <w:t>ormosanus</w:t>
      </w:r>
      <w:r>
        <w:rPr>
          <w:rFonts w:hint="eastAsia"/>
          <w:i/>
          <w:sz w:val="24"/>
        </w:rPr>
        <w:t xml:space="preserve"> </w:t>
      </w:r>
      <w:r>
        <w:rPr>
          <w:rFonts w:hint="eastAsia"/>
          <w:iCs/>
          <w:sz w:val="24"/>
        </w:rPr>
        <w:t>in SD rats</w:t>
      </w:r>
    </w:p>
    <w:tbl>
      <w:tblPr>
        <w:tblW w:w="0" w:type="auto"/>
        <w:tblInd w:w="-584" w:type="dxa"/>
        <w:tblBorders>
          <w:top w:val="single" w:sz="4" w:space="0" w:color="auto"/>
          <w:bottom w:val="single" w:sz="4" w:space="0" w:color="auto"/>
          <w:insideH w:val="single" w:sz="4" w:space="0" w:color="auto"/>
        </w:tblBorders>
        <w:tblLayout w:type="fixed"/>
        <w:tblLook w:val="0000"/>
      </w:tblPr>
      <w:tblGrid>
        <w:gridCol w:w="1724"/>
        <w:gridCol w:w="862"/>
        <w:gridCol w:w="862"/>
        <w:gridCol w:w="832"/>
        <w:gridCol w:w="900"/>
        <w:gridCol w:w="832"/>
        <w:gridCol w:w="876"/>
        <w:gridCol w:w="848"/>
        <w:gridCol w:w="788"/>
        <w:gridCol w:w="936"/>
      </w:tblGrid>
      <w:tr w:rsidR="006F0EE3">
        <w:tblPrEx>
          <w:tblCellMar>
            <w:top w:w="0" w:type="dxa"/>
            <w:bottom w:w="0" w:type="dxa"/>
          </w:tblCellMar>
        </w:tblPrEx>
        <w:trPr>
          <w:trHeight w:val="791"/>
        </w:trPr>
        <w:tc>
          <w:tcPr>
            <w:tcW w:w="1724" w:type="dxa"/>
            <w:tcBorders>
              <w:left w:val="single" w:sz="4" w:space="0" w:color="FFFFFF"/>
              <w:bottom w:val="single" w:sz="4" w:space="0" w:color="auto"/>
              <w:right w:val="single" w:sz="4" w:space="0" w:color="FFFFFF"/>
            </w:tcBorders>
          </w:tcPr>
          <w:p w:rsidR="006F0EE3" w:rsidRDefault="006F0EE3">
            <w:pPr>
              <w:pStyle w:val="a3"/>
              <w:spacing w:line="360" w:lineRule="auto"/>
              <w:jc w:val="left"/>
              <w:rPr>
                <w:rFonts w:hint="eastAsia"/>
                <w:szCs w:val="18"/>
              </w:rPr>
            </w:pPr>
            <w:r>
              <w:rPr>
                <w:rFonts w:hint="eastAsia"/>
                <w:szCs w:val="18"/>
              </w:rPr>
              <w:t>灌胃囊蚴数（个</w:t>
            </w:r>
            <w:r>
              <w:rPr>
                <w:rFonts w:hint="eastAsia"/>
                <w:szCs w:val="18"/>
              </w:rPr>
              <w:t>/</w:t>
            </w:r>
            <w:r>
              <w:rPr>
                <w:rFonts w:hint="eastAsia"/>
                <w:szCs w:val="18"/>
              </w:rPr>
              <w:t>只）</w:t>
            </w:r>
          </w:p>
          <w:p w:rsidR="006F0EE3" w:rsidRDefault="006F0EE3">
            <w:pPr>
              <w:pStyle w:val="a3"/>
              <w:spacing w:line="360" w:lineRule="auto"/>
              <w:jc w:val="left"/>
              <w:rPr>
                <w:rFonts w:hint="eastAsia"/>
                <w:szCs w:val="18"/>
              </w:rPr>
            </w:pPr>
            <w:r>
              <w:rPr>
                <w:rFonts w:hint="eastAsia"/>
                <w:szCs w:val="18"/>
              </w:rPr>
              <w:t xml:space="preserve">No. </w:t>
            </w:r>
            <w:r>
              <w:rPr>
                <w:rFonts w:hint="eastAsia"/>
                <w:color w:val="222222"/>
                <w:szCs w:val="18"/>
              </w:rPr>
              <w:t>M</w:t>
            </w:r>
            <w:r>
              <w:rPr>
                <w:color w:val="222222"/>
                <w:szCs w:val="18"/>
              </w:rPr>
              <w:t>etacercariae</w:t>
            </w:r>
            <w:r>
              <w:rPr>
                <w:rFonts w:hint="eastAsia"/>
                <w:color w:val="222222"/>
                <w:szCs w:val="18"/>
              </w:rPr>
              <w:t xml:space="preserve">  gavaged in the rats</w:t>
            </w:r>
          </w:p>
        </w:tc>
        <w:tc>
          <w:tcPr>
            <w:tcW w:w="862" w:type="dxa"/>
            <w:tcBorders>
              <w:left w:val="single" w:sz="4" w:space="0" w:color="FFFFFF"/>
              <w:bottom w:val="single" w:sz="4" w:space="0" w:color="auto"/>
              <w:right w:val="single" w:sz="4" w:space="0" w:color="FFFFFF"/>
            </w:tcBorders>
          </w:tcPr>
          <w:p w:rsidR="006F0EE3" w:rsidRDefault="006F0EE3">
            <w:pPr>
              <w:spacing w:line="360" w:lineRule="auto"/>
              <w:jc w:val="center"/>
              <w:rPr>
                <w:rFonts w:ascii="宋体" w:hAnsi="宋体" w:cs="宋体" w:hint="eastAsia"/>
                <w:sz w:val="18"/>
                <w:szCs w:val="18"/>
              </w:rPr>
            </w:pPr>
          </w:p>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 xml:space="preserve">5 </w:t>
            </w:r>
          </w:p>
        </w:tc>
        <w:tc>
          <w:tcPr>
            <w:tcW w:w="862" w:type="dxa"/>
            <w:tcBorders>
              <w:left w:val="single" w:sz="4" w:space="0" w:color="FFFFFF"/>
              <w:bottom w:val="single" w:sz="4" w:space="0" w:color="auto"/>
              <w:right w:val="single" w:sz="4" w:space="0" w:color="FFFFFF"/>
            </w:tcBorders>
          </w:tcPr>
          <w:p w:rsidR="006F0EE3" w:rsidRDefault="006F0EE3">
            <w:pPr>
              <w:spacing w:line="360" w:lineRule="auto"/>
              <w:jc w:val="center"/>
              <w:rPr>
                <w:rFonts w:ascii="宋体" w:hAnsi="宋体" w:cs="宋体" w:hint="eastAsia"/>
                <w:sz w:val="18"/>
                <w:szCs w:val="18"/>
              </w:rPr>
            </w:pPr>
          </w:p>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10</w:t>
            </w:r>
          </w:p>
        </w:tc>
        <w:tc>
          <w:tcPr>
            <w:tcW w:w="832" w:type="dxa"/>
            <w:tcBorders>
              <w:left w:val="single" w:sz="4" w:space="0" w:color="FFFFFF"/>
              <w:bottom w:val="single" w:sz="4" w:space="0" w:color="auto"/>
              <w:right w:val="single" w:sz="4" w:space="0" w:color="FFFFFF"/>
            </w:tcBorders>
          </w:tcPr>
          <w:p w:rsidR="006F0EE3" w:rsidRDefault="006F0EE3">
            <w:pPr>
              <w:spacing w:line="360" w:lineRule="auto"/>
              <w:jc w:val="center"/>
              <w:rPr>
                <w:rFonts w:ascii="宋体" w:hAnsi="宋体" w:cs="宋体" w:hint="eastAsia"/>
                <w:sz w:val="18"/>
                <w:szCs w:val="18"/>
              </w:rPr>
            </w:pPr>
          </w:p>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 xml:space="preserve"> 20 </w:t>
            </w:r>
          </w:p>
        </w:tc>
        <w:tc>
          <w:tcPr>
            <w:tcW w:w="900" w:type="dxa"/>
            <w:tcBorders>
              <w:left w:val="single" w:sz="4" w:space="0" w:color="FFFFFF"/>
              <w:bottom w:val="single" w:sz="4" w:space="0" w:color="auto"/>
              <w:right w:val="single" w:sz="4" w:space="0" w:color="FFFFFF"/>
            </w:tcBorders>
          </w:tcPr>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 xml:space="preserve">  </w:t>
            </w:r>
          </w:p>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 xml:space="preserve"> 30</w:t>
            </w:r>
          </w:p>
        </w:tc>
        <w:tc>
          <w:tcPr>
            <w:tcW w:w="832" w:type="dxa"/>
            <w:tcBorders>
              <w:left w:val="single" w:sz="4" w:space="0" w:color="FFFFFF"/>
              <w:bottom w:val="single" w:sz="4" w:space="0" w:color="auto"/>
              <w:right w:val="single" w:sz="4" w:space="0" w:color="FFFFFF"/>
            </w:tcBorders>
          </w:tcPr>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 xml:space="preserve">  </w:t>
            </w:r>
          </w:p>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 xml:space="preserve"> 40</w:t>
            </w:r>
          </w:p>
        </w:tc>
        <w:tc>
          <w:tcPr>
            <w:tcW w:w="876" w:type="dxa"/>
            <w:tcBorders>
              <w:left w:val="single" w:sz="4" w:space="0" w:color="FFFFFF"/>
              <w:bottom w:val="single" w:sz="4" w:space="0" w:color="auto"/>
              <w:right w:val="single" w:sz="4" w:space="0" w:color="FFFFFF"/>
            </w:tcBorders>
          </w:tcPr>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 xml:space="preserve"> </w:t>
            </w:r>
          </w:p>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 xml:space="preserve">  50</w:t>
            </w:r>
          </w:p>
        </w:tc>
        <w:tc>
          <w:tcPr>
            <w:tcW w:w="848" w:type="dxa"/>
            <w:tcBorders>
              <w:left w:val="single" w:sz="4" w:space="0" w:color="FFFFFF"/>
              <w:bottom w:val="single" w:sz="4" w:space="0" w:color="auto"/>
              <w:right w:val="single" w:sz="4" w:space="0" w:color="FFFFFF"/>
            </w:tcBorders>
          </w:tcPr>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 xml:space="preserve"> </w:t>
            </w:r>
          </w:p>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 xml:space="preserve"> 100</w:t>
            </w:r>
          </w:p>
        </w:tc>
        <w:tc>
          <w:tcPr>
            <w:tcW w:w="788" w:type="dxa"/>
            <w:tcBorders>
              <w:left w:val="single" w:sz="4" w:space="0" w:color="FFFFFF"/>
              <w:bottom w:val="single" w:sz="4" w:space="0" w:color="auto"/>
              <w:right w:val="single" w:sz="4" w:space="0" w:color="FFFFFF"/>
            </w:tcBorders>
          </w:tcPr>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 xml:space="preserve"> </w:t>
            </w:r>
          </w:p>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200</w:t>
            </w:r>
          </w:p>
        </w:tc>
        <w:tc>
          <w:tcPr>
            <w:tcW w:w="936" w:type="dxa"/>
            <w:tcBorders>
              <w:left w:val="single" w:sz="4" w:space="0" w:color="FFFFFF"/>
              <w:bottom w:val="single" w:sz="4" w:space="0" w:color="auto"/>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总计</w:t>
            </w:r>
          </w:p>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Total</w:t>
            </w:r>
          </w:p>
        </w:tc>
      </w:tr>
      <w:tr w:rsidR="006F0EE3">
        <w:tblPrEx>
          <w:tblCellMar>
            <w:top w:w="0" w:type="dxa"/>
            <w:bottom w:w="0" w:type="dxa"/>
          </w:tblCellMar>
        </w:tblPrEx>
        <w:trPr>
          <w:trHeight w:val="90"/>
        </w:trPr>
        <w:tc>
          <w:tcPr>
            <w:tcW w:w="1724" w:type="dxa"/>
            <w:tcBorders>
              <w:top w:val="single" w:sz="4" w:space="0" w:color="auto"/>
              <w:left w:val="single" w:sz="4" w:space="0" w:color="FFFFFF"/>
              <w:bottom w:val="single" w:sz="4" w:space="0" w:color="FFFFFF"/>
              <w:right w:val="single" w:sz="4" w:space="0" w:color="FFFFFF"/>
            </w:tcBorders>
          </w:tcPr>
          <w:p w:rsidR="006F0EE3" w:rsidRDefault="006F0EE3">
            <w:pPr>
              <w:spacing w:line="360" w:lineRule="auto"/>
              <w:jc w:val="left"/>
              <w:rPr>
                <w:rFonts w:ascii="宋体" w:hAnsi="宋体" w:cs="宋体" w:hint="eastAsia"/>
                <w:sz w:val="18"/>
                <w:szCs w:val="18"/>
              </w:rPr>
            </w:pPr>
            <w:r>
              <w:rPr>
                <w:rFonts w:ascii="宋体" w:hAnsi="宋体" w:cs="宋体" w:hint="eastAsia"/>
                <w:sz w:val="18"/>
                <w:szCs w:val="18"/>
              </w:rPr>
              <w:t>大鼠数量（只）</w:t>
            </w:r>
          </w:p>
          <w:p w:rsidR="006F0EE3" w:rsidRDefault="006F0EE3">
            <w:pPr>
              <w:spacing w:line="360" w:lineRule="auto"/>
              <w:jc w:val="left"/>
              <w:rPr>
                <w:rFonts w:ascii="宋体" w:hAnsi="宋体" w:cs="宋体" w:hint="eastAsia"/>
                <w:sz w:val="18"/>
                <w:szCs w:val="18"/>
              </w:rPr>
            </w:pPr>
            <w:r>
              <w:rPr>
                <w:rFonts w:hint="eastAsia"/>
                <w:sz w:val="18"/>
                <w:szCs w:val="18"/>
              </w:rPr>
              <w:t>No. rats</w:t>
            </w:r>
          </w:p>
        </w:tc>
        <w:tc>
          <w:tcPr>
            <w:tcW w:w="862" w:type="dxa"/>
            <w:tcBorders>
              <w:top w:val="single" w:sz="4" w:space="0" w:color="auto"/>
              <w:left w:val="single" w:sz="4" w:space="0" w:color="FFFFFF"/>
              <w:bottom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5* </w:t>
            </w:r>
          </w:p>
        </w:tc>
        <w:tc>
          <w:tcPr>
            <w:tcW w:w="862" w:type="dxa"/>
            <w:tcBorders>
              <w:top w:val="single" w:sz="4" w:space="0" w:color="auto"/>
              <w:left w:val="single" w:sz="4" w:space="0" w:color="FFFFFF"/>
              <w:bottom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5 </w:t>
            </w:r>
          </w:p>
        </w:tc>
        <w:tc>
          <w:tcPr>
            <w:tcW w:w="832" w:type="dxa"/>
            <w:tcBorders>
              <w:top w:val="single" w:sz="4" w:space="0" w:color="auto"/>
              <w:left w:val="single" w:sz="4" w:space="0" w:color="FFFFFF"/>
              <w:bottom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3 </w:t>
            </w:r>
          </w:p>
        </w:tc>
        <w:tc>
          <w:tcPr>
            <w:tcW w:w="900" w:type="dxa"/>
            <w:tcBorders>
              <w:top w:val="single" w:sz="4" w:space="0" w:color="auto"/>
              <w:left w:val="single" w:sz="4" w:space="0" w:color="FFFFFF"/>
              <w:bottom w:val="single" w:sz="4" w:space="0" w:color="FFFFFF"/>
              <w:right w:val="single" w:sz="4" w:space="0" w:color="FFFFFF"/>
            </w:tcBorders>
          </w:tcPr>
          <w:p w:rsidR="006F0EE3" w:rsidRDefault="006F0EE3" w:rsidP="00DB6CFD">
            <w:pPr>
              <w:spacing w:line="360" w:lineRule="auto"/>
              <w:ind w:firstLineChars="200" w:firstLine="360"/>
              <w:rPr>
                <w:rFonts w:ascii="宋体" w:hAnsi="宋体" w:cs="宋体" w:hint="eastAsia"/>
                <w:sz w:val="18"/>
                <w:szCs w:val="18"/>
              </w:rPr>
            </w:pPr>
            <w:r>
              <w:rPr>
                <w:rFonts w:ascii="宋体" w:hAnsi="宋体" w:cs="宋体" w:hint="eastAsia"/>
                <w:sz w:val="18"/>
                <w:szCs w:val="18"/>
              </w:rPr>
              <w:t>2</w:t>
            </w:r>
          </w:p>
        </w:tc>
        <w:tc>
          <w:tcPr>
            <w:tcW w:w="832" w:type="dxa"/>
            <w:tcBorders>
              <w:top w:val="single" w:sz="4" w:space="0" w:color="auto"/>
              <w:left w:val="single" w:sz="4" w:space="0" w:color="FFFFFF"/>
              <w:bottom w:val="single" w:sz="4" w:space="0" w:color="FFFFFF"/>
              <w:right w:val="single" w:sz="4" w:space="0" w:color="FFFFFF"/>
            </w:tcBorders>
          </w:tcPr>
          <w:p w:rsidR="006F0EE3" w:rsidRDefault="006F0EE3" w:rsidP="00DB6CFD">
            <w:pPr>
              <w:spacing w:line="360" w:lineRule="auto"/>
              <w:ind w:firstLineChars="200" w:firstLine="360"/>
              <w:rPr>
                <w:rFonts w:ascii="宋体" w:hAnsi="宋体" w:cs="宋体" w:hint="eastAsia"/>
                <w:sz w:val="18"/>
                <w:szCs w:val="18"/>
              </w:rPr>
            </w:pPr>
            <w:r>
              <w:rPr>
                <w:rFonts w:ascii="宋体" w:hAnsi="宋体" w:cs="宋体" w:hint="eastAsia"/>
                <w:sz w:val="18"/>
                <w:szCs w:val="18"/>
              </w:rPr>
              <w:t>2</w:t>
            </w:r>
          </w:p>
        </w:tc>
        <w:tc>
          <w:tcPr>
            <w:tcW w:w="876" w:type="dxa"/>
            <w:tcBorders>
              <w:top w:val="single" w:sz="4" w:space="0" w:color="auto"/>
              <w:left w:val="single" w:sz="4" w:space="0" w:color="FFFFFF"/>
              <w:bottom w:val="single" w:sz="4" w:space="0" w:color="FFFFFF"/>
              <w:right w:val="single" w:sz="4" w:space="0" w:color="FFFFFF"/>
            </w:tcBorders>
          </w:tcPr>
          <w:p w:rsidR="006F0EE3" w:rsidRDefault="006F0EE3" w:rsidP="00DB6CFD">
            <w:pPr>
              <w:spacing w:line="360" w:lineRule="auto"/>
              <w:ind w:firstLineChars="200" w:firstLine="360"/>
              <w:rPr>
                <w:rFonts w:ascii="宋体" w:hAnsi="宋体" w:cs="宋体" w:hint="eastAsia"/>
                <w:sz w:val="18"/>
                <w:szCs w:val="18"/>
              </w:rPr>
            </w:pPr>
            <w:r>
              <w:rPr>
                <w:rFonts w:ascii="宋体" w:hAnsi="宋体" w:cs="宋体" w:hint="eastAsia"/>
                <w:sz w:val="18"/>
                <w:szCs w:val="18"/>
              </w:rPr>
              <w:t>2</w:t>
            </w:r>
          </w:p>
        </w:tc>
        <w:tc>
          <w:tcPr>
            <w:tcW w:w="848" w:type="dxa"/>
            <w:tcBorders>
              <w:top w:val="single" w:sz="4" w:space="0" w:color="auto"/>
              <w:left w:val="single" w:sz="4" w:space="0" w:color="FFFFFF"/>
              <w:bottom w:val="single" w:sz="4" w:space="0" w:color="FFFFFF"/>
              <w:right w:val="single" w:sz="4" w:space="0" w:color="FFFFFF"/>
            </w:tcBorders>
          </w:tcPr>
          <w:p w:rsidR="006F0EE3" w:rsidRDefault="006F0EE3" w:rsidP="00DB6CFD">
            <w:pPr>
              <w:spacing w:line="360" w:lineRule="auto"/>
              <w:ind w:firstLineChars="200" w:firstLine="360"/>
              <w:rPr>
                <w:rFonts w:ascii="宋体" w:hAnsi="宋体" w:cs="宋体" w:hint="eastAsia"/>
                <w:sz w:val="18"/>
                <w:szCs w:val="18"/>
              </w:rPr>
            </w:pPr>
            <w:r>
              <w:rPr>
                <w:rFonts w:ascii="宋体" w:hAnsi="宋体" w:cs="宋体" w:hint="eastAsia"/>
                <w:sz w:val="18"/>
                <w:szCs w:val="18"/>
              </w:rPr>
              <w:t xml:space="preserve">2 </w:t>
            </w:r>
          </w:p>
        </w:tc>
        <w:tc>
          <w:tcPr>
            <w:tcW w:w="788" w:type="dxa"/>
            <w:tcBorders>
              <w:top w:val="single" w:sz="4" w:space="0" w:color="auto"/>
              <w:left w:val="single" w:sz="4" w:space="0" w:color="FFFFFF"/>
              <w:bottom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2</w:t>
            </w:r>
          </w:p>
        </w:tc>
        <w:tc>
          <w:tcPr>
            <w:tcW w:w="936" w:type="dxa"/>
            <w:tcBorders>
              <w:top w:val="single" w:sz="4" w:space="0" w:color="auto"/>
              <w:left w:val="single" w:sz="4" w:space="0" w:color="FFFFFF"/>
              <w:bottom w:val="single" w:sz="4" w:space="0" w:color="FFFFFF"/>
              <w:right w:val="single" w:sz="4" w:space="0" w:color="FFFFFF"/>
            </w:tcBorders>
          </w:tcPr>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23</w:t>
            </w:r>
          </w:p>
        </w:tc>
      </w:tr>
      <w:tr w:rsidR="006F0EE3">
        <w:tblPrEx>
          <w:tblCellMar>
            <w:top w:w="0" w:type="dxa"/>
            <w:bottom w:w="0" w:type="dxa"/>
          </w:tblCellMar>
        </w:tblPrEx>
        <w:trPr>
          <w:trHeight w:val="90"/>
        </w:trPr>
        <w:tc>
          <w:tcPr>
            <w:tcW w:w="1724" w:type="dxa"/>
            <w:tcBorders>
              <w:top w:val="single" w:sz="4" w:space="0" w:color="FFFFFF"/>
              <w:left w:val="single" w:sz="4" w:space="0" w:color="FFFFFF"/>
              <w:bottom w:val="single" w:sz="4" w:space="0" w:color="FFFFFF"/>
              <w:right w:val="single" w:sz="4" w:space="0" w:color="FFFFFF"/>
            </w:tcBorders>
          </w:tcPr>
          <w:p w:rsidR="006F0EE3" w:rsidRDefault="006F0EE3">
            <w:pPr>
              <w:spacing w:line="360" w:lineRule="auto"/>
              <w:jc w:val="left"/>
              <w:rPr>
                <w:rFonts w:ascii="宋体" w:hAnsi="宋体" w:cs="宋体" w:hint="eastAsia"/>
                <w:sz w:val="18"/>
                <w:szCs w:val="18"/>
              </w:rPr>
            </w:pPr>
            <w:r>
              <w:rPr>
                <w:rFonts w:ascii="宋体" w:hAnsi="宋体" w:cs="宋体" w:hint="eastAsia"/>
                <w:sz w:val="18"/>
                <w:szCs w:val="18"/>
              </w:rPr>
              <w:t>成虫总数（条）</w:t>
            </w:r>
          </w:p>
          <w:p w:rsidR="006F0EE3" w:rsidRDefault="006F0EE3">
            <w:pPr>
              <w:spacing w:line="360" w:lineRule="auto"/>
              <w:jc w:val="left"/>
              <w:rPr>
                <w:rFonts w:ascii="宋体" w:hAnsi="宋体" w:cs="宋体" w:hint="eastAsia"/>
                <w:sz w:val="18"/>
                <w:szCs w:val="18"/>
              </w:rPr>
            </w:pPr>
            <w:r>
              <w:rPr>
                <w:rFonts w:hint="eastAsia"/>
                <w:sz w:val="18"/>
                <w:szCs w:val="18"/>
              </w:rPr>
              <w:t>No. adults</w:t>
            </w:r>
          </w:p>
        </w:tc>
        <w:tc>
          <w:tcPr>
            <w:tcW w:w="862" w:type="dxa"/>
            <w:tcBorders>
              <w:top w:val="single" w:sz="4" w:space="0" w:color="FFFFFF"/>
              <w:left w:val="single" w:sz="4" w:space="0" w:color="FFFFFF"/>
              <w:bottom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2</w:t>
            </w:r>
          </w:p>
        </w:tc>
        <w:tc>
          <w:tcPr>
            <w:tcW w:w="862" w:type="dxa"/>
            <w:tcBorders>
              <w:top w:val="single" w:sz="4" w:space="0" w:color="FFFFFF"/>
              <w:left w:val="single" w:sz="4" w:space="0" w:color="FFFFFF"/>
              <w:bottom w:val="single" w:sz="4" w:space="0" w:color="FFFFFF"/>
              <w:right w:val="single" w:sz="4" w:space="0" w:color="FFFFFF"/>
            </w:tcBorders>
          </w:tcPr>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10</w:t>
            </w:r>
          </w:p>
        </w:tc>
        <w:tc>
          <w:tcPr>
            <w:tcW w:w="832" w:type="dxa"/>
            <w:tcBorders>
              <w:top w:val="single" w:sz="4" w:space="0" w:color="FFFFFF"/>
              <w:left w:val="single" w:sz="4" w:space="0" w:color="FFFFFF"/>
              <w:bottom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4</w:t>
            </w:r>
          </w:p>
        </w:tc>
        <w:tc>
          <w:tcPr>
            <w:tcW w:w="900" w:type="dxa"/>
            <w:tcBorders>
              <w:top w:val="single" w:sz="4" w:space="0" w:color="FFFFFF"/>
              <w:left w:val="single" w:sz="4" w:space="0" w:color="FFFFFF"/>
              <w:bottom w:val="single" w:sz="4" w:space="0" w:color="FFFFFF"/>
              <w:right w:val="single" w:sz="4" w:space="0" w:color="FFFFFF"/>
            </w:tcBorders>
          </w:tcPr>
          <w:p w:rsidR="006F0EE3" w:rsidRDefault="006F0EE3" w:rsidP="00DB6CFD">
            <w:pPr>
              <w:spacing w:line="360" w:lineRule="auto"/>
              <w:ind w:firstLineChars="200" w:firstLine="360"/>
              <w:rPr>
                <w:rFonts w:ascii="宋体" w:hAnsi="宋体" w:cs="宋体" w:hint="eastAsia"/>
                <w:sz w:val="18"/>
                <w:szCs w:val="18"/>
              </w:rPr>
            </w:pPr>
            <w:r>
              <w:rPr>
                <w:rFonts w:ascii="宋体" w:hAnsi="宋体" w:cs="宋体" w:hint="eastAsia"/>
                <w:sz w:val="18"/>
                <w:szCs w:val="18"/>
              </w:rPr>
              <w:t>6</w:t>
            </w:r>
          </w:p>
        </w:tc>
        <w:tc>
          <w:tcPr>
            <w:tcW w:w="832" w:type="dxa"/>
            <w:tcBorders>
              <w:top w:val="single" w:sz="4" w:space="0" w:color="FFFFFF"/>
              <w:left w:val="single" w:sz="4" w:space="0" w:color="FFFFFF"/>
              <w:bottom w:val="single" w:sz="4" w:space="0" w:color="FFFFFF"/>
              <w:right w:val="single" w:sz="4" w:space="0" w:color="FFFFFF"/>
            </w:tcBorders>
          </w:tcPr>
          <w:p w:rsidR="006F0EE3" w:rsidRDefault="006F0EE3" w:rsidP="00DB6CFD">
            <w:pPr>
              <w:spacing w:line="360" w:lineRule="auto"/>
              <w:ind w:firstLineChars="200" w:firstLine="360"/>
              <w:rPr>
                <w:rFonts w:ascii="宋体" w:hAnsi="宋体" w:cs="宋体" w:hint="eastAsia"/>
                <w:sz w:val="18"/>
                <w:szCs w:val="18"/>
              </w:rPr>
            </w:pPr>
            <w:r>
              <w:rPr>
                <w:rFonts w:ascii="宋体" w:hAnsi="宋体" w:cs="宋体" w:hint="eastAsia"/>
                <w:sz w:val="18"/>
                <w:szCs w:val="18"/>
              </w:rPr>
              <w:t>8</w:t>
            </w:r>
          </w:p>
        </w:tc>
        <w:tc>
          <w:tcPr>
            <w:tcW w:w="876" w:type="dxa"/>
            <w:tcBorders>
              <w:top w:val="single" w:sz="4" w:space="0" w:color="FFFFFF"/>
              <w:left w:val="single" w:sz="4" w:space="0" w:color="FFFFFF"/>
              <w:bottom w:val="single" w:sz="4" w:space="0" w:color="FFFFFF"/>
              <w:right w:val="single" w:sz="4" w:space="0" w:color="FFFFFF"/>
            </w:tcBorders>
          </w:tcPr>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 xml:space="preserve">   17</w:t>
            </w:r>
          </w:p>
        </w:tc>
        <w:tc>
          <w:tcPr>
            <w:tcW w:w="848" w:type="dxa"/>
            <w:tcBorders>
              <w:top w:val="single" w:sz="4" w:space="0" w:color="FFFFFF"/>
              <w:left w:val="single" w:sz="4" w:space="0" w:color="FFFFFF"/>
              <w:bottom w:val="single" w:sz="4" w:space="0" w:color="FFFFFF"/>
              <w:right w:val="single" w:sz="4" w:space="0" w:color="FFFFFF"/>
            </w:tcBorders>
          </w:tcPr>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 xml:space="preserve">   29</w:t>
            </w:r>
          </w:p>
        </w:tc>
        <w:tc>
          <w:tcPr>
            <w:tcW w:w="788" w:type="dxa"/>
            <w:tcBorders>
              <w:top w:val="single" w:sz="4" w:space="0" w:color="FFFFFF"/>
              <w:left w:val="single" w:sz="4" w:space="0" w:color="FFFFFF"/>
              <w:bottom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38</w:t>
            </w:r>
          </w:p>
        </w:tc>
        <w:tc>
          <w:tcPr>
            <w:tcW w:w="936" w:type="dxa"/>
            <w:tcBorders>
              <w:top w:val="single" w:sz="4" w:space="0" w:color="FFFFFF"/>
              <w:left w:val="single" w:sz="4" w:space="0" w:color="FFFFFF"/>
              <w:bottom w:val="single" w:sz="4" w:space="0" w:color="FFFFFF"/>
              <w:right w:val="single" w:sz="4" w:space="0" w:color="FFFFFF"/>
            </w:tcBorders>
          </w:tcPr>
          <w:p w:rsidR="006F0EE3" w:rsidRDefault="006F0EE3">
            <w:pPr>
              <w:spacing w:line="360" w:lineRule="auto"/>
              <w:jc w:val="center"/>
              <w:rPr>
                <w:rFonts w:ascii="宋体" w:hAnsi="宋体" w:cs="宋体" w:hint="eastAsia"/>
                <w:sz w:val="18"/>
                <w:szCs w:val="18"/>
              </w:rPr>
            </w:pPr>
            <w:r>
              <w:rPr>
                <w:rFonts w:ascii="宋体" w:hAnsi="宋体" w:cs="宋体" w:hint="eastAsia"/>
                <w:sz w:val="18"/>
                <w:szCs w:val="18"/>
              </w:rPr>
              <w:t>113</w:t>
            </w:r>
          </w:p>
        </w:tc>
      </w:tr>
      <w:tr w:rsidR="006F0EE3">
        <w:tblPrEx>
          <w:tblCellMar>
            <w:top w:w="0" w:type="dxa"/>
            <w:bottom w:w="0" w:type="dxa"/>
          </w:tblCellMar>
        </w:tblPrEx>
        <w:trPr>
          <w:trHeight w:val="90"/>
        </w:trPr>
        <w:tc>
          <w:tcPr>
            <w:tcW w:w="1724" w:type="dxa"/>
            <w:tcBorders>
              <w:top w:val="single" w:sz="4" w:space="0" w:color="FFFFFF"/>
              <w:left w:val="single" w:sz="4" w:space="0" w:color="FFFFFF"/>
              <w:right w:val="single" w:sz="4" w:space="0" w:color="FFFFFF"/>
            </w:tcBorders>
          </w:tcPr>
          <w:p w:rsidR="006F0EE3" w:rsidRDefault="006F0EE3">
            <w:pPr>
              <w:spacing w:line="360" w:lineRule="auto"/>
              <w:jc w:val="left"/>
              <w:rPr>
                <w:rFonts w:ascii="宋体" w:hAnsi="宋体" w:cs="宋体" w:hint="eastAsia"/>
                <w:sz w:val="18"/>
                <w:szCs w:val="18"/>
              </w:rPr>
            </w:pPr>
            <w:r>
              <w:rPr>
                <w:rFonts w:ascii="宋体" w:hAnsi="宋体" w:cs="宋体" w:hint="eastAsia"/>
                <w:sz w:val="18"/>
                <w:szCs w:val="18"/>
              </w:rPr>
              <w:t>平均感染率</w:t>
            </w:r>
          </w:p>
          <w:p w:rsidR="006F0EE3" w:rsidRDefault="006F0EE3">
            <w:pPr>
              <w:spacing w:line="360" w:lineRule="auto"/>
              <w:jc w:val="left"/>
              <w:rPr>
                <w:rFonts w:ascii="宋体" w:hAnsi="宋体" w:cs="宋体" w:hint="eastAsia"/>
                <w:sz w:val="18"/>
                <w:szCs w:val="18"/>
              </w:rPr>
            </w:pPr>
            <w:r>
              <w:rPr>
                <w:color w:val="222222"/>
                <w:sz w:val="18"/>
                <w:szCs w:val="18"/>
              </w:rPr>
              <w:t xml:space="preserve">Average </w:t>
            </w:r>
            <w:r>
              <w:rPr>
                <w:sz w:val="18"/>
                <w:szCs w:val="18"/>
              </w:rPr>
              <w:t>Infection rate</w:t>
            </w:r>
          </w:p>
        </w:tc>
        <w:tc>
          <w:tcPr>
            <w:tcW w:w="862" w:type="dxa"/>
            <w:tcBorders>
              <w:top w:val="single" w:sz="4" w:space="0" w:color="FFFFFF"/>
              <w:left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10.0%</w:t>
            </w:r>
          </w:p>
        </w:tc>
        <w:tc>
          <w:tcPr>
            <w:tcW w:w="862" w:type="dxa"/>
            <w:tcBorders>
              <w:top w:val="single" w:sz="4" w:space="0" w:color="FFFFFF"/>
              <w:left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20.0%</w:t>
            </w:r>
          </w:p>
        </w:tc>
        <w:tc>
          <w:tcPr>
            <w:tcW w:w="832" w:type="dxa"/>
            <w:tcBorders>
              <w:top w:val="single" w:sz="4" w:space="0" w:color="FFFFFF"/>
              <w:left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6.7%</w:t>
            </w:r>
          </w:p>
        </w:tc>
        <w:tc>
          <w:tcPr>
            <w:tcW w:w="900" w:type="dxa"/>
            <w:tcBorders>
              <w:top w:val="single" w:sz="4" w:space="0" w:color="FFFFFF"/>
              <w:left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10.0%</w:t>
            </w:r>
          </w:p>
        </w:tc>
        <w:tc>
          <w:tcPr>
            <w:tcW w:w="832" w:type="dxa"/>
            <w:tcBorders>
              <w:top w:val="single" w:sz="4" w:space="0" w:color="FFFFFF"/>
              <w:left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10.0%</w:t>
            </w:r>
          </w:p>
        </w:tc>
        <w:tc>
          <w:tcPr>
            <w:tcW w:w="876" w:type="dxa"/>
            <w:tcBorders>
              <w:top w:val="single" w:sz="4" w:space="0" w:color="FFFFFF"/>
              <w:left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17.0%</w:t>
            </w:r>
          </w:p>
        </w:tc>
        <w:tc>
          <w:tcPr>
            <w:tcW w:w="848" w:type="dxa"/>
            <w:tcBorders>
              <w:top w:val="single" w:sz="4" w:space="0" w:color="FFFFFF"/>
              <w:left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14.5%</w:t>
            </w:r>
          </w:p>
        </w:tc>
        <w:tc>
          <w:tcPr>
            <w:tcW w:w="788" w:type="dxa"/>
            <w:tcBorders>
              <w:top w:val="single" w:sz="4" w:space="0" w:color="FFFFFF"/>
              <w:left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9.5%</w:t>
            </w:r>
          </w:p>
        </w:tc>
        <w:tc>
          <w:tcPr>
            <w:tcW w:w="936" w:type="dxa"/>
            <w:tcBorders>
              <w:top w:val="single" w:sz="4" w:space="0" w:color="FFFFFF"/>
              <w:left w:val="single" w:sz="4" w:space="0" w:color="FFFFFF"/>
              <w:right w:val="single" w:sz="4" w:space="0" w:color="FFFFFF"/>
            </w:tcBorders>
          </w:tcPr>
          <w:p w:rsidR="006F0EE3" w:rsidRDefault="006F0EE3">
            <w:pPr>
              <w:spacing w:line="360" w:lineRule="auto"/>
              <w:rPr>
                <w:rFonts w:ascii="宋体" w:hAnsi="宋体" w:cs="宋体" w:hint="eastAsia"/>
                <w:sz w:val="18"/>
                <w:szCs w:val="18"/>
              </w:rPr>
            </w:pPr>
            <w:r>
              <w:rPr>
                <w:rFonts w:ascii="宋体" w:hAnsi="宋体" w:cs="宋体" w:hint="eastAsia"/>
                <w:sz w:val="18"/>
                <w:szCs w:val="18"/>
              </w:rPr>
              <w:t xml:space="preserve">  11.8%</w:t>
            </w:r>
          </w:p>
        </w:tc>
      </w:tr>
    </w:tbl>
    <w:p w:rsidR="006F0EE3" w:rsidRDefault="006F0EE3">
      <w:pPr>
        <w:spacing w:line="360" w:lineRule="auto"/>
        <w:jc w:val="left"/>
        <w:rPr>
          <w:rFonts w:ascii="宋体" w:hAnsi="宋体" w:cs="宋体" w:hint="eastAsia"/>
          <w:sz w:val="24"/>
        </w:rPr>
      </w:pPr>
      <w:r>
        <w:rPr>
          <w:rFonts w:ascii="宋体" w:hAnsi="宋体" w:cs="宋体" w:hint="eastAsia"/>
          <w:sz w:val="24"/>
        </w:rPr>
        <w:t>（*为灌胃过程中1只大鼠意外死亡）</w:t>
      </w:r>
    </w:p>
    <w:p w:rsidR="006F0EE3" w:rsidRDefault="006F0EE3">
      <w:pPr>
        <w:spacing w:line="360" w:lineRule="auto"/>
        <w:jc w:val="left"/>
        <w:rPr>
          <w:rFonts w:ascii="宋体" w:hAnsi="宋体" w:cs="宋体" w:hint="eastAsia"/>
          <w:sz w:val="24"/>
        </w:rPr>
      </w:pPr>
      <w:r>
        <w:rPr>
          <w:rFonts w:ascii="宋体" w:hAnsi="宋体" w:cs="宋体" w:hint="eastAsia"/>
          <w:sz w:val="24"/>
        </w:rPr>
        <w:t xml:space="preserve">（* </w:t>
      </w:r>
      <w:r>
        <w:rPr>
          <w:sz w:val="24"/>
        </w:rPr>
        <w:t>Means</w:t>
      </w:r>
      <w:r>
        <w:rPr>
          <w:rFonts w:ascii="宋体" w:hAnsi="宋体" w:cs="宋体" w:hint="eastAsia"/>
          <w:sz w:val="24"/>
        </w:rPr>
        <w:t xml:space="preserve"> </w:t>
      </w:r>
      <w:r>
        <w:rPr>
          <w:rFonts w:hint="eastAsia"/>
          <w:color w:val="222222"/>
          <w:sz w:val="24"/>
        </w:rPr>
        <w:t>a rat a</w:t>
      </w:r>
      <w:r>
        <w:rPr>
          <w:color w:val="222222"/>
          <w:sz w:val="24"/>
        </w:rPr>
        <w:t xml:space="preserve">ccidental </w:t>
      </w:r>
      <w:r>
        <w:rPr>
          <w:rFonts w:hint="eastAsia"/>
          <w:color w:val="222222"/>
          <w:sz w:val="24"/>
        </w:rPr>
        <w:t>d</w:t>
      </w:r>
      <w:r>
        <w:rPr>
          <w:color w:val="222222"/>
          <w:sz w:val="24"/>
        </w:rPr>
        <w:t>eath</w:t>
      </w:r>
      <w:r>
        <w:rPr>
          <w:rFonts w:hint="eastAsia"/>
          <w:color w:val="222222"/>
          <w:sz w:val="24"/>
        </w:rPr>
        <w:t xml:space="preserve"> in a</w:t>
      </w:r>
      <w:r>
        <w:rPr>
          <w:color w:val="222222"/>
          <w:sz w:val="24"/>
        </w:rPr>
        <w:t>ratgavage</w:t>
      </w:r>
      <w:r>
        <w:rPr>
          <w:rFonts w:hint="eastAsia"/>
          <w:color w:val="222222"/>
          <w:sz w:val="24"/>
        </w:rPr>
        <w:t xml:space="preserve"> </w:t>
      </w:r>
      <w:r>
        <w:rPr>
          <w:color w:val="222222"/>
          <w:sz w:val="24"/>
        </w:rPr>
        <w:t>process</w:t>
      </w:r>
      <w:r>
        <w:rPr>
          <w:rFonts w:ascii="宋体" w:hAnsi="宋体" w:cs="宋体" w:hint="eastAsia"/>
          <w:sz w:val="24"/>
        </w:rPr>
        <w:t>）</w:t>
      </w:r>
    </w:p>
    <w:p w:rsidR="006F0EE3" w:rsidRDefault="006F0EE3">
      <w:pPr>
        <w:autoSpaceDN w:val="0"/>
        <w:spacing w:beforeAutospacing="1" w:afterAutospacing="1"/>
        <w:rPr>
          <w:rFonts w:ascii="宋体" w:hAnsi="宋体"/>
          <w:sz w:val="24"/>
        </w:rPr>
      </w:pPr>
    </w:p>
    <w:p w:rsidR="006F0EE3" w:rsidRDefault="006F0EE3">
      <w:pPr>
        <w:autoSpaceDE w:val="0"/>
        <w:autoSpaceDN w:val="0"/>
        <w:spacing w:line="360" w:lineRule="auto"/>
        <w:jc w:val="center"/>
        <w:rPr>
          <w:i/>
          <w:iCs/>
          <w:sz w:val="24"/>
        </w:rPr>
      </w:pPr>
    </w:p>
    <w:p w:rsidR="006F0EE3" w:rsidRDefault="006F0EE3">
      <w:pPr>
        <w:spacing w:line="360" w:lineRule="auto"/>
        <w:rPr>
          <w:sz w:val="24"/>
        </w:rPr>
      </w:pPr>
    </w:p>
    <w:p w:rsidR="006F0EE3" w:rsidRDefault="006F0EE3" w:rsidP="00DB6CFD">
      <w:pPr>
        <w:spacing w:line="360" w:lineRule="auto"/>
        <w:ind w:left="600" w:hangingChars="250" w:hanging="600"/>
        <w:rPr>
          <w:sz w:val="24"/>
        </w:rPr>
      </w:pPr>
    </w:p>
    <w:p w:rsidR="006F0EE3" w:rsidRDefault="006F0EE3">
      <w:pPr>
        <w:shd w:val="clear" w:color="auto" w:fill="FFFFFF"/>
        <w:snapToGrid w:val="0"/>
        <w:spacing w:line="360" w:lineRule="auto"/>
        <w:rPr>
          <w:rFonts w:ascii="宋体" w:hAnsi="宋体" w:cs="宋体" w:hint="eastAsia"/>
          <w:color w:val="000000"/>
          <w:sz w:val="24"/>
        </w:rPr>
      </w:pPr>
    </w:p>
    <w:p w:rsidR="006F0EE3" w:rsidRDefault="006F0EE3">
      <w:pPr>
        <w:spacing w:line="360" w:lineRule="auto"/>
        <w:rPr>
          <w:sz w:val="24"/>
        </w:rPr>
      </w:pPr>
    </w:p>
    <w:sectPr w:rsidR="006F0EE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EE3" w:rsidRDefault="006F0EE3" w:rsidP="00DB6CFD">
      <w:r>
        <w:separator/>
      </w:r>
    </w:p>
  </w:endnote>
  <w:endnote w:type="continuationSeparator" w:id="1">
    <w:p w:rsidR="006F0EE3" w:rsidRDefault="006F0EE3" w:rsidP="00DB6C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EE3" w:rsidRDefault="006F0EE3" w:rsidP="00DB6CFD">
      <w:r>
        <w:separator/>
      </w:r>
    </w:p>
  </w:footnote>
  <w:footnote w:type="continuationSeparator" w:id="1">
    <w:p w:rsidR="006F0EE3" w:rsidRDefault="006F0EE3" w:rsidP="00DB6C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223405"/>
    <w:rsid w:val="006F0EE3"/>
    <w:rsid w:val="00793886"/>
    <w:rsid w:val="00DB6C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6" w:lineRule="auto"/>
      <w:outlineLvl w:val="0"/>
    </w:pPr>
    <w:rPr>
      <w:b/>
      <w:kern w:val="44"/>
      <w:sz w:val="44"/>
      <w:szCs w:val="20"/>
      <w:lang/>
    </w:rPr>
  </w:style>
  <w:style w:type="paragraph" w:styleId="2">
    <w:name w:val="heading 2"/>
    <w:basedOn w:val="a"/>
    <w:next w:val="a"/>
    <w:link w:val="2Char"/>
    <w:qFormat/>
    <w:pPr>
      <w:keepNext/>
      <w:keepLines/>
      <w:spacing w:before="260" w:after="260" w:line="413" w:lineRule="auto"/>
      <w:outlineLvl w:val="1"/>
    </w:pPr>
    <w:rPr>
      <w:rFonts w:ascii="Arial" w:eastAsia="黑体" w:hAnsi="Arial"/>
      <w:b/>
      <w:kern w:val="0"/>
      <w:sz w:val="32"/>
      <w:szCs w:val="20"/>
      <w:lang/>
    </w:rPr>
  </w:style>
  <w:style w:type="paragraph" w:styleId="3">
    <w:name w:val="heading 3"/>
    <w:basedOn w:val="a"/>
    <w:next w:val="a"/>
    <w:link w:val="3Char"/>
    <w:qFormat/>
    <w:pPr>
      <w:keepNext/>
      <w:keepLines/>
      <w:spacing w:before="260" w:after="260" w:line="413" w:lineRule="auto"/>
      <w:outlineLvl w:val="2"/>
    </w:pPr>
    <w:rPr>
      <w:b/>
      <w:kern w:val="0"/>
      <w:sz w:val="32"/>
      <w:szCs w:val="20"/>
      <w:lang/>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b/>
      <w:kern w:val="44"/>
      <w:sz w:val="44"/>
    </w:rPr>
  </w:style>
  <w:style w:type="character" w:customStyle="1" w:styleId="3Char">
    <w:name w:val="标题 3 Char"/>
    <w:link w:val="3"/>
    <w:rPr>
      <w:b/>
      <w:sz w:val="32"/>
    </w:rPr>
  </w:style>
  <w:style w:type="character" w:customStyle="1" w:styleId="2Char">
    <w:name w:val="标题 2 Char"/>
    <w:link w:val="2"/>
    <w:rPr>
      <w:rFonts w:ascii="Arial" w:eastAsia="黑体" w:hAnsi="Arial"/>
      <w:b/>
      <w:sz w:val="32"/>
    </w:rPr>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pPr>
      <w:tabs>
        <w:tab w:val="center" w:pos="4153"/>
        <w:tab w:val="right" w:pos="8306"/>
      </w:tabs>
      <w:snapToGrid w:val="0"/>
      <w:jc w:val="left"/>
    </w:pPr>
    <w:rPr>
      <w:sz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term=Romero%20Z&#250;?iga%20JJ%5bAuthor%5d&amp;cauthor=true&amp;cauthor_uid=21250483" TargetMode="External"/><Relationship Id="rId13" Type="http://schemas.openxmlformats.org/officeDocument/2006/relationships/hyperlink" Target="http://www.ncbi.nlm.nih.gov/pubmed?term=Costa%20Vda%20S%5bAuthor%5d&amp;cauthor=true&amp;cauthor_uid=23574763" TargetMode="External"/><Relationship Id="rId18" Type="http://schemas.openxmlformats.org/officeDocument/2006/relationships/hyperlink" Target="http://www.ncbi.nlm.nih.gov/pubmed?term=Pinto%20HA%5bAuthor%5d&amp;cauthor=true&amp;cauthor_uid=23070454" TargetMode="External"/><Relationship Id="rId26" Type="http://schemas.openxmlformats.org/officeDocument/2006/relationships/hyperlink" Target="http://www.ncbi.nlm.nih.gov/pubmed/18344679#" TargetMode="External"/><Relationship Id="rId3" Type="http://schemas.openxmlformats.org/officeDocument/2006/relationships/webSettings" Target="webSettings.xml"/><Relationship Id="rId21" Type="http://schemas.openxmlformats.org/officeDocument/2006/relationships/hyperlink" Target="http://www.ncbi.nlm.nih.gov/pubmed?term=Pinto%20HA%5bAuthor%5d&amp;cauthor=true&amp;cauthor_uid=22735153" TargetMode="External"/><Relationship Id="rId7" Type="http://schemas.openxmlformats.org/officeDocument/2006/relationships/hyperlink" Target="http://www.ncbi.nlm.nih.gov/pubmed?term=Dolz%20G%5bAuthor%5d&amp;cauthor=true&amp;cauthor_uid=21250483" TargetMode="External"/><Relationship Id="rId12" Type="http://schemas.openxmlformats.org/officeDocument/2006/relationships/hyperlink" Target="http://www.ncbi.nlm.nih.gov/pubmed?term=dos%20Santos%20EG%5bAuthor%5d&amp;cauthor=true&amp;cauthor_uid=23574763" TargetMode="External"/><Relationship Id="rId17" Type="http://schemas.openxmlformats.org/officeDocument/2006/relationships/hyperlink" Target="http://www.bioone.org/doi/abs/10.1674/0003-0031(2000)143%5b0185:TIADOC%5d2.0.CO;2#aff2" TargetMode="External"/><Relationship Id="rId25" Type="http://schemas.openxmlformats.org/officeDocument/2006/relationships/hyperlink" Target="http://www.ncbi.nlm.nih.gov/pubmed?term=Phommakorn%20S%5bAuthor%5d&amp;cauthor=true&amp;cauthor_uid=18344679" TargetMode="External"/><Relationship Id="rId2" Type="http://schemas.openxmlformats.org/officeDocument/2006/relationships/settings" Target="settings.xml"/><Relationship Id="rId16" Type="http://schemas.openxmlformats.org/officeDocument/2006/relationships/hyperlink" Target="http://www.bioone.org/doi/abs/10.1674/0003-0031(2000)143%5b0185:TIADOC%5d2.0.CO;2#aff1" TargetMode="External"/><Relationship Id="rId20" Type="http://schemas.openxmlformats.org/officeDocument/2006/relationships/hyperlink" Target="http://www.ncbi.nlm.nih.gov/pubmed?term=Paula-Andrade%20C%5bAuthor%5d&amp;cauthor=true&amp;cauthor_uid=22735153" TargetMode="External"/><Relationship Id="rId29" Type="http://schemas.openxmlformats.org/officeDocument/2006/relationships/image" Target="media/image3.jpeg"/><Relationship Id="rId1" Type="http://schemas.openxmlformats.org/officeDocument/2006/relationships/styles" Target="styles.xml"/><Relationship Id="rId6" Type="http://schemas.openxmlformats.org/officeDocument/2006/relationships/hyperlink" Target="http://www.ncbi.nlm.nih.gov/pubmed?term=Arguedas%20Cort&#233;s%20D%5bAuthor%5d&amp;cauthor=true&amp;cauthor_uid=21250483" TargetMode="External"/><Relationship Id="rId11" Type="http://schemas.openxmlformats.org/officeDocument/2006/relationships/hyperlink" Target="http://www.ncbi.nlm.nih.gov/pubmed?term=Tamang%20L%5bAuthor%5d&amp;cauthor=true&amp;cauthor_uid=15103556" TargetMode="External"/><Relationship Id="rId24" Type="http://schemas.openxmlformats.org/officeDocument/2006/relationships/hyperlink" Target="http://www.ncbi.nlm.nih.gov/pubmed?term=Shin%20EH%5bAuthor%5d&amp;cauthor=true&amp;cauthor_uid=18344679" TargetMode="External"/><Relationship Id="rId32"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bioone.org/doi/abs/10.1674/0003-0031(2000)143%5b0185:TIADOC%5d2.0.CO;2#n1" TargetMode="External"/><Relationship Id="rId23" Type="http://schemas.openxmlformats.org/officeDocument/2006/relationships/hyperlink" Target="http://www.ncbi.nlm.nih.gov/pubmed?term=Han%20ET%5bAuthor%5d&amp;cauthor=true&amp;cauthor_uid=18344679" TargetMode="External"/><Relationship Id="rId28" Type="http://schemas.openxmlformats.org/officeDocument/2006/relationships/image" Target="media/image2.jpeg"/><Relationship Id="rId10" Type="http://schemas.openxmlformats.org/officeDocument/2006/relationships/hyperlink" Target="http://www.ncbi.nlm.nih.gov/pubmed?term=Graczyk%20TK%5bAuthor%5d&amp;cauthor=true&amp;cauthor_uid=15103556" TargetMode="External"/><Relationship Id="rId19" Type="http://schemas.openxmlformats.org/officeDocument/2006/relationships/hyperlink" Target="http://www.ncbi.nlm.nih.gov/pubmed?term=de%20Melo%20AL%5bAuthor%5d&amp;cauthor=true&amp;cauthor_uid=23070454" TargetMode="External"/><Relationship Id="rId3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ncbi.nlm.nih.gov/pubmed?term=Fried%20B%5bAuthor%5d&amp;cauthor=true&amp;cauthor_uid=15103556" TargetMode="External"/><Relationship Id="rId14" Type="http://schemas.openxmlformats.org/officeDocument/2006/relationships/hyperlink" Target="http://www.ncbi.nlm.nih.gov/pubmed?term=Santos%20CP%5bAuthor%5d&amp;cauthor=true&amp;cauthor_uid=23574763" TargetMode="External"/><Relationship Id="rId22" Type="http://schemas.openxmlformats.org/officeDocument/2006/relationships/hyperlink" Target="http://www.ncbi.nlm.nih.gov/pubmed?term=Coscarelli%20D%5bAuthor%5d&amp;cauthor=true&amp;cauthor_uid=22735153" TargetMode="External"/><Relationship Id="rId27" Type="http://schemas.openxmlformats.org/officeDocument/2006/relationships/image" Target="media/image1.jpeg"/><Relationship Id="rId30"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1792</Words>
  <Characters>10220</Characters>
  <Application>Microsoft Office Word</Application>
  <DocSecurity>0</DocSecurity>
  <PresentationFormat/>
  <Lines>85</Lines>
  <Paragraphs>23</Paragraphs>
  <Slides>0</Slides>
  <Notes>0</Notes>
  <HiddenSlides>0</HiddenSlides>
  <MMClips>0</MMClips>
  <ScaleCrop>false</ScaleCrop>
  <Manager/>
  <Company/>
  <LinksUpToDate>false</LinksUpToDate>
  <CharactersWithSpaces>11989</CharactersWithSpaces>
  <SharedDoc>false</SharedDoc>
  <HLinks>
    <vt:vector size="126" baseType="variant">
      <vt:variant>
        <vt:i4>3211308</vt:i4>
      </vt:variant>
      <vt:variant>
        <vt:i4>60</vt:i4>
      </vt:variant>
      <vt:variant>
        <vt:i4>0</vt:i4>
      </vt:variant>
      <vt:variant>
        <vt:i4>5</vt:i4>
      </vt:variant>
      <vt:variant>
        <vt:lpwstr>http://www.ncbi.nlm.nih.gov/pubmed/18344679</vt:lpwstr>
      </vt:variant>
      <vt:variant>
        <vt:lpwstr/>
      </vt:variant>
      <vt:variant>
        <vt:i4>6488091</vt:i4>
      </vt:variant>
      <vt:variant>
        <vt:i4>57</vt:i4>
      </vt:variant>
      <vt:variant>
        <vt:i4>0</vt:i4>
      </vt:variant>
      <vt:variant>
        <vt:i4>5</vt:i4>
      </vt:variant>
      <vt:variant>
        <vt:lpwstr>http://www.ncbi.nlm.nih.gov/pubmed?term=Phommakorn S[Author]&amp;cauthor=true&amp;cauthor_uid=18344679</vt:lpwstr>
      </vt:variant>
      <vt:variant>
        <vt:lpwstr/>
      </vt:variant>
      <vt:variant>
        <vt:i4>3538971</vt:i4>
      </vt:variant>
      <vt:variant>
        <vt:i4>54</vt:i4>
      </vt:variant>
      <vt:variant>
        <vt:i4>0</vt:i4>
      </vt:variant>
      <vt:variant>
        <vt:i4>5</vt:i4>
      </vt:variant>
      <vt:variant>
        <vt:lpwstr>http://www.ncbi.nlm.nih.gov/pubmed?term=Shin EH[Author]&amp;cauthor=true&amp;cauthor_uid=18344679</vt:lpwstr>
      </vt:variant>
      <vt:variant>
        <vt:lpwstr/>
      </vt:variant>
      <vt:variant>
        <vt:i4>4194355</vt:i4>
      </vt:variant>
      <vt:variant>
        <vt:i4>51</vt:i4>
      </vt:variant>
      <vt:variant>
        <vt:i4>0</vt:i4>
      </vt:variant>
      <vt:variant>
        <vt:i4>5</vt:i4>
      </vt:variant>
      <vt:variant>
        <vt:lpwstr>http://www.ncbi.nlm.nih.gov/pubmed?term=Han ET[Author]&amp;cauthor=true&amp;cauthor_uid=18344679</vt:lpwstr>
      </vt:variant>
      <vt:variant>
        <vt:lpwstr/>
      </vt:variant>
      <vt:variant>
        <vt:i4>6946828</vt:i4>
      </vt:variant>
      <vt:variant>
        <vt:i4>48</vt:i4>
      </vt:variant>
      <vt:variant>
        <vt:i4>0</vt:i4>
      </vt:variant>
      <vt:variant>
        <vt:i4>5</vt:i4>
      </vt:variant>
      <vt:variant>
        <vt:lpwstr>http://www.ncbi.nlm.nih.gov/pubmed?term=Coscarelli D[Author]&amp;cauthor=true&amp;cauthor_uid=22735153</vt:lpwstr>
      </vt:variant>
      <vt:variant>
        <vt:lpwstr/>
      </vt:variant>
      <vt:variant>
        <vt:i4>2687053</vt:i4>
      </vt:variant>
      <vt:variant>
        <vt:i4>45</vt:i4>
      </vt:variant>
      <vt:variant>
        <vt:i4>0</vt:i4>
      </vt:variant>
      <vt:variant>
        <vt:i4>5</vt:i4>
      </vt:variant>
      <vt:variant>
        <vt:lpwstr>http://www.ncbi.nlm.nih.gov/pubmed?term=Pinto HA[Author]&amp;cauthor=true&amp;cauthor_uid=22735153</vt:lpwstr>
      </vt:variant>
      <vt:variant>
        <vt:lpwstr/>
      </vt:variant>
      <vt:variant>
        <vt:i4>2687045</vt:i4>
      </vt:variant>
      <vt:variant>
        <vt:i4>42</vt:i4>
      </vt:variant>
      <vt:variant>
        <vt:i4>0</vt:i4>
      </vt:variant>
      <vt:variant>
        <vt:i4>5</vt:i4>
      </vt:variant>
      <vt:variant>
        <vt:lpwstr>http://www.ncbi.nlm.nih.gov/pubmed?term=Paula-Andrade C[Author]&amp;cauthor=true&amp;cauthor_uid=22735153</vt:lpwstr>
      </vt:variant>
      <vt:variant>
        <vt:lpwstr/>
      </vt:variant>
      <vt:variant>
        <vt:i4>5898361</vt:i4>
      </vt:variant>
      <vt:variant>
        <vt:i4>39</vt:i4>
      </vt:variant>
      <vt:variant>
        <vt:i4>0</vt:i4>
      </vt:variant>
      <vt:variant>
        <vt:i4>5</vt:i4>
      </vt:variant>
      <vt:variant>
        <vt:lpwstr>http://www.ncbi.nlm.nih.gov/pubmed?term=de Melo AL[Author]&amp;cauthor=true&amp;cauthor_uid=23070454</vt:lpwstr>
      </vt:variant>
      <vt:variant>
        <vt:lpwstr/>
      </vt:variant>
      <vt:variant>
        <vt:i4>3014735</vt:i4>
      </vt:variant>
      <vt:variant>
        <vt:i4>36</vt:i4>
      </vt:variant>
      <vt:variant>
        <vt:i4>0</vt:i4>
      </vt:variant>
      <vt:variant>
        <vt:i4>5</vt:i4>
      </vt:variant>
      <vt:variant>
        <vt:lpwstr>http://www.ncbi.nlm.nih.gov/pubmed?term=Pinto HA[Author]&amp;cauthor=true&amp;cauthor_uid=23070454</vt:lpwstr>
      </vt:variant>
      <vt:variant>
        <vt:lpwstr/>
      </vt:variant>
      <vt:variant>
        <vt:i4>5701658</vt:i4>
      </vt:variant>
      <vt:variant>
        <vt:i4>33</vt:i4>
      </vt:variant>
      <vt:variant>
        <vt:i4>0</vt:i4>
      </vt:variant>
      <vt:variant>
        <vt:i4>5</vt:i4>
      </vt:variant>
      <vt:variant>
        <vt:lpwstr>http://www.bioone.org/doi/abs/10.1674/0003-0031(2000)143[0185:TIADOC]2.0.CO;2</vt:lpwstr>
      </vt:variant>
      <vt:variant>
        <vt:lpwstr>aff2</vt:lpwstr>
      </vt:variant>
      <vt:variant>
        <vt:i4>5505050</vt:i4>
      </vt:variant>
      <vt:variant>
        <vt:i4>30</vt:i4>
      </vt:variant>
      <vt:variant>
        <vt:i4>0</vt:i4>
      </vt:variant>
      <vt:variant>
        <vt:i4>5</vt:i4>
      </vt:variant>
      <vt:variant>
        <vt:lpwstr>http://www.bioone.org/doi/abs/10.1674/0003-0031(2000)143[0185:TIADOC]2.0.CO;2</vt:lpwstr>
      </vt:variant>
      <vt:variant>
        <vt:lpwstr>aff1</vt:lpwstr>
      </vt:variant>
      <vt:variant>
        <vt:i4>3276915</vt:i4>
      </vt:variant>
      <vt:variant>
        <vt:i4>27</vt:i4>
      </vt:variant>
      <vt:variant>
        <vt:i4>0</vt:i4>
      </vt:variant>
      <vt:variant>
        <vt:i4>5</vt:i4>
      </vt:variant>
      <vt:variant>
        <vt:lpwstr>http://www.bioone.org/doi/abs/10.1674/0003-0031(2000)143[0185:TIADOC]2.0.CO;2</vt:lpwstr>
      </vt:variant>
      <vt:variant>
        <vt:lpwstr>n1</vt:lpwstr>
      </vt:variant>
      <vt:variant>
        <vt:i4>5505122</vt:i4>
      </vt:variant>
      <vt:variant>
        <vt:i4>24</vt:i4>
      </vt:variant>
      <vt:variant>
        <vt:i4>0</vt:i4>
      </vt:variant>
      <vt:variant>
        <vt:i4>5</vt:i4>
      </vt:variant>
      <vt:variant>
        <vt:lpwstr>http://www.ncbi.nlm.nih.gov/pubmed?term=Santos CP[Author]&amp;cauthor=true&amp;cauthor_uid=23574763</vt:lpwstr>
      </vt:variant>
      <vt:variant>
        <vt:lpwstr/>
      </vt:variant>
      <vt:variant>
        <vt:i4>3014741</vt:i4>
      </vt:variant>
      <vt:variant>
        <vt:i4>21</vt:i4>
      </vt:variant>
      <vt:variant>
        <vt:i4>0</vt:i4>
      </vt:variant>
      <vt:variant>
        <vt:i4>5</vt:i4>
      </vt:variant>
      <vt:variant>
        <vt:lpwstr>http://www.ncbi.nlm.nih.gov/pubmed?term=Costa Vda S[Author]&amp;cauthor=true&amp;cauthor_uid=23574763</vt:lpwstr>
      </vt:variant>
      <vt:variant>
        <vt:lpwstr/>
      </vt:variant>
      <vt:variant>
        <vt:i4>1900642</vt:i4>
      </vt:variant>
      <vt:variant>
        <vt:i4>18</vt:i4>
      </vt:variant>
      <vt:variant>
        <vt:i4>0</vt:i4>
      </vt:variant>
      <vt:variant>
        <vt:i4>5</vt:i4>
      </vt:variant>
      <vt:variant>
        <vt:lpwstr>http://www.ncbi.nlm.nih.gov/pubmed?term=dos Santos EG[Author]&amp;cauthor=true&amp;cauthor_uid=23574763</vt:lpwstr>
      </vt:variant>
      <vt:variant>
        <vt:lpwstr/>
      </vt:variant>
      <vt:variant>
        <vt:i4>8060928</vt:i4>
      </vt:variant>
      <vt:variant>
        <vt:i4>15</vt:i4>
      </vt:variant>
      <vt:variant>
        <vt:i4>0</vt:i4>
      </vt:variant>
      <vt:variant>
        <vt:i4>5</vt:i4>
      </vt:variant>
      <vt:variant>
        <vt:lpwstr>http://www.ncbi.nlm.nih.gov/pubmed?term=Tamang L[Author]&amp;cauthor=true&amp;cauthor_uid=15103556</vt:lpwstr>
      </vt:variant>
      <vt:variant>
        <vt:lpwstr/>
      </vt:variant>
      <vt:variant>
        <vt:i4>5439540</vt:i4>
      </vt:variant>
      <vt:variant>
        <vt:i4>12</vt:i4>
      </vt:variant>
      <vt:variant>
        <vt:i4>0</vt:i4>
      </vt:variant>
      <vt:variant>
        <vt:i4>5</vt:i4>
      </vt:variant>
      <vt:variant>
        <vt:lpwstr>http://www.ncbi.nlm.nih.gov/pubmed?term=Graczyk TK[Author]&amp;cauthor=true&amp;cauthor_uid=15103556</vt:lpwstr>
      </vt:variant>
      <vt:variant>
        <vt:lpwstr/>
      </vt:variant>
      <vt:variant>
        <vt:i4>6619210</vt:i4>
      </vt:variant>
      <vt:variant>
        <vt:i4>9</vt:i4>
      </vt:variant>
      <vt:variant>
        <vt:i4>0</vt:i4>
      </vt:variant>
      <vt:variant>
        <vt:i4>5</vt:i4>
      </vt:variant>
      <vt:variant>
        <vt:lpwstr>http://www.ncbi.nlm.nih.gov/pubmed?term=Fried B[Author]&amp;cauthor=true&amp;cauthor_uid=15103556</vt:lpwstr>
      </vt:variant>
      <vt:variant>
        <vt:lpwstr/>
      </vt:variant>
      <vt:variant>
        <vt:i4>7864460</vt:i4>
      </vt:variant>
      <vt:variant>
        <vt:i4>6</vt:i4>
      </vt:variant>
      <vt:variant>
        <vt:i4>0</vt:i4>
      </vt:variant>
      <vt:variant>
        <vt:i4>5</vt:i4>
      </vt:variant>
      <vt:variant>
        <vt:lpwstr>http://www.ncbi.nlm.nih.gov/pubmed?term=Romero Zú?iga JJ[Author]&amp;cauthor=true&amp;cauthor_uid=21250483</vt:lpwstr>
      </vt:variant>
      <vt:variant>
        <vt:lpwstr/>
      </vt:variant>
      <vt:variant>
        <vt:i4>458865</vt:i4>
      </vt:variant>
      <vt:variant>
        <vt:i4>3</vt:i4>
      </vt:variant>
      <vt:variant>
        <vt:i4>0</vt:i4>
      </vt:variant>
      <vt:variant>
        <vt:i4>5</vt:i4>
      </vt:variant>
      <vt:variant>
        <vt:lpwstr>http://www.ncbi.nlm.nih.gov/pubmed?term=Dolz G[Author]&amp;cauthor=true&amp;cauthor_uid=21250483</vt:lpwstr>
      </vt:variant>
      <vt:variant>
        <vt:lpwstr/>
      </vt:variant>
      <vt:variant>
        <vt:i4>9699437</vt:i4>
      </vt:variant>
      <vt:variant>
        <vt:i4>0</vt:i4>
      </vt:variant>
      <vt:variant>
        <vt:i4>0</vt:i4>
      </vt:variant>
      <vt:variant>
        <vt:i4>5</vt:i4>
      </vt:variant>
      <vt:variant>
        <vt:lpwstr>http://www.ncbi.nlm.nih.gov/pubmed?term=Arguedas Cortés D[Author]&amp;cauthor=true&amp;cauthor_uid=21250483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广西宾阳县泥鳅感染台湾棘带吸虫囊蚴情况调查及台湾棘带吸虫大鼠动物模型的构建</dc:title>
  <dc:subject/>
  <dc:creator>lenovo</dc:creator>
  <cp:keywords/>
  <dc:description/>
  <cp:lastModifiedBy>lenovo</cp:lastModifiedBy>
  <cp:revision>2</cp:revision>
  <dcterms:created xsi:type="dcterms:W3CDTF">2014-08-06T08:24:00Z</dcterms:created>
  <dcterms:modified xsi:type="dcterms:W3CDTF">2014-08-06T08:24:00Z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2052-9.1.0.4715</vt:lpwstr>
  </property>
</Properties>
</file>