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ascii="宋体" w:hAnsi="宋体" w:eastAsia="宋体" w:cs="宋体"/>
          <w:sz w:val="36"/>
          <w:szCs w:val="36"/>
        </w:rPr>
      </w:pPr>
      <w:r>
        <w:rPr>
          <w:rFonts w:hint="eastAsia" w:ascii="宋体" w:hAnsi="宋体" w:eastAsia="宋体" w:cs="宋体"/>
          <w:sz w:val="36"/>
          <w:szCs w:val="36"/>
          <w:lang w:eastAsia="zh-CN"/>
        </w:rPr>
        <w:t>改良加藤</w:t>
      </w:r>
      <w:r>
        <w:rPr>
          <w:rFonts w:hint="eastAsia" w:ascii="宋体" w:hAnsi="宋体" w:eastAsia="宋体" w:cs="宋体"/>
          <w:sz w:val="36"/>
          <w:szCs w:val="36"/>
          <w:lang w:val="en-US" w:eastAsia="zh-CN"/>
        </w:rPr>
        <w:t>厚涂片</w:t>
      </w:r>
      <w:r>
        <w:rPr>
          <w:rFonts w:hint="eastAsia" w:ascii="宋体" w:hAnsi="宋体" w:eastAsia="宋体" w:cs="宋体"/>
          <w:sz w:val="36"/>
          <w:szCs w:val="36"/>
        </w:rPr>
        <w:t>法</w:t>
      </w:r>
      <w:r>
        <w:rPr>
          <w:rFonts w:hint="eastAsia" w:ascii="宋体" w:hAnsi="宋体" w:eastAsia="宋体" w:cs="宋体"/>
          <w:sz w:val="36"/>
          <w:szCs w:val="36"/>
          <w:lang w:eastAsia="zh-CN"/>
        </w:rPr>
        <w:t>（</w:t>
      </w:r>
      <w:r>
        <w:rPr>
          <w:rFonts w:hint="eastAsia" w:ascii="宋体" w:hAnsi="宋体" w:eastAsia="宋体" w:cs="宋体"/>
          <w:sz w:val="36"/>
          <w:szCs w:val="36"/>
        </w:rPr>
        <w:t>Kato-Katz</w:t>
      </w:r>
      <w:r>
        <w:rPr>
          <w:rFonts w:hint="eastAsia" w:ascii="宋体" w:hAnsi="宋体" w:eastAsia="宋体" w:cs="宋体"/>
          <w:sz w:val="36"/>
          <w:szCs w:val="36"/>
          <w:lang w:eastAsia="zh-CN"/>
        </w:rPr>
        <w:t>）</w:t>
      </w:r>
      <w:r>
        <w:rPr>
          <w:rFonts w:hint="eastAsia" w:ascii="宋体" w:hAnsi="宋体" w:eastAsia="宋体" w:cs="宋体"/>
          <w:sz w:val="36"/>
          <w:szCs w:val="36"/>
        </w:rPr>
        <w:t>检查土源性线虫卵</w:t>
      </w:r>
    </w:p>
    <w:p>
      <w:pPr>
        <w:rPr>
          <w:rFonts w:hint="eastAsia" w:ascii="宋体" w:hAnsi="宋体" w:eastAsia="宋体" w:cs="宋体"/>
          <w:sz w:val="36"/>
          <w:szCs w:val="36"/>
        </w:rPr>
      </w:pPr>
      <w:r>
        <w:rPr>
          <w:rFonts w:hint="eastAsia" w:ascii="宋体" w:hAnsi="宋体" w:eastAsia="宋体" w:cs="宋体"/>
          <w:sz w:val="36"/>
          <w:szCs w:val="36"/>
        </w:rPr>
        <w:t>1送3检中单次涂片检出效果分析</w:t>
      </w:r>
    </w:p>
    <w:p>
      <w:pPr>
        <w:rPr>
          <w:rFonts w:hint="eastAsia" w:ascii="宋体" w:hAnsi="宋体" w:eastAsia="宋体" w:cs="宋体"/>
          <w:szCs w:val="21"/>
        </w:rPr>
      </w:pPr>
      <w:r>
        <w:rPr>
          <w:rFonts w:hint="eastAsia" w:ascii="宋体" w:hAnsi="宋体" w:eastAsia="宋体" w:cs="宋体"/>
          <w:szCs w:val="21"/>
        </w:rPr>
        <w:t>周莉  金伟</w:t>
      </w:r>
      <w:r>
        <w:rPr>
          <w:rFonts w:hint="eastAsia" w:ascii="宋体" w:hAnsi="宋体" w:eastAsia="宋体" w:cs="宋体"/>
          <w:szCs w:val="21"/>
          <w:vertAlign w:val="superscript"/>
        </w:rPr>
        <w:t>*</w:t>
      </w:r>
      <w:r>
        <w:rPr>
          <w:rFonts w:hint="eastAsia" w:ascii="宋体" w:hAnsi="宋体" w:eastAsia="宋体" w:cs="宋体"/>
          <w:szCs w:val="21"/>
        </w:rPr>
        <w:t xml:space="preserve">  郭见多  朱磊  罗俊平</w:t>
      </w:r>
      <w:r>
        <w:rPr>
          <w:rFonts w:hint="eastAsia" w:ascii="宋体" w:hAnsi="宋体" w:eastAsia="宋体" w:cs="宋体"/>
          <w:szCs w:val="21"/>
          <w:lang w:val="en-US" w:eastAsia="zh-CN"/>
        </w:rPr>
        <w:t xml:space="preserve">  李启扬</w:t>
      </w:r>
      <w:bookmarkStart w:id="0" w:name="_GoBack"/>
      <w:bookmarkEnd w:id="0"/>
    </w:p>
    <w:p>
      <w:pPr>
        <w:pStyle w:val="3"/>
        <w:rPr>
          <w:rFonts w:hint="eastAsia" w:ascii="宋体" w:hAnsi="宋体" w:eastAsia="宋体" w:cs="宋体"/>
          <w:color w:val="FF0000"/>
          <w:highlight w:val="yellow"/>
          <w:lang w:eastAsia="zh-CN"/>
        </w:rPr>
      </w:pPr>
      <w:r>
        <w:rPr>
          <w:rFonts w:hint="eastAsia" w:ascii="宋体" w:hAnsi="宋体" w:eastAsia="宋体" w:cs="宋体"/>
        </w:rPr>
        <w:t>作者单位：230061</w:t>
      </w:r>
      <w:r>
        <w:rPr>
          <w:rFonts w:hint="eastAsia" w:ascii="宋体" w:hAnsi="宋体" w:eastAsia="宋体" w:cs="宋体"/>
          <w:lang w:eastAsia="zh-CN"/>
        </w:rPr>
        <w:t>周莉</w:t>
      </w:r>
      <w:r>
        <w:rPr>
          <w:rFonts w:hint="eastAsia" w:ascii="宋体" w:hAnsi="宋体" w:eastAsia="宋体" w:cs="宋体"/>
        </w:rPr>
        <w:t>，安徽省血吸虫病防治研究所</w:t>
      </w:r>
      <w:r>
        <w:rPr>
          <w:rFonts w:hint="eastAsia" w:ascii="宋体" w:hAnsi="宋体" w:eastAsia="宋体" w:cs="宋体"/>
          <w:lang w:eastAsia="zh-CN"/>
        </w:rPr>
        <w:t>；</w:t>
      </w:r>
    </w:p>
    <w:p>
      <w:pPr>
        <w:pStyle w:val="3"/>
        <w:rPr>
          <w:rFonts w:hint="eastAsia" w:ascii="宋体" w:hAnsi="宋体" w:eastAsia="宋体" w:cs="宋体"/>
          <w:highlight w:val="yellow"/>
          <w:lang w:eastAsia="zh-CN"/>
        </w:rPr>
      </w:pPr>
      <w:r>
        <w:rPr>
          <w:rFonts w:hint="eastAsia" w:ascii="宋体" w:hAnsi="宋体" w:eastAsia="宋体" w:cs="宋体"/>
          <w:lang w:eastAsia="zh-CN"/>
        </w:rPr>
        <w:t>*通信作者：金伟，Email：greatking.w@gmail.com</w:t>
      </w:r>
    </w:p>
    <w:p>
      <w:pPr>
        <w:pStyle w:val="3"/>
        <w:rPr>
          <w:rFonts w:ascii="Times New Roman" w:hAnsi="Times New Roman"/>
          <w:color w:val="FF0000"/>
          <w:lang w:eastAsia="zh-CN"/>
        </w:rPr>
      </w:pP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eastAsia="宋体" w:cs="宋体"/>
          <w:b/>
          <w:sz w:val="21"/>
          <w:szCs w:val="21"/>
        </w:rPr>
      </w:pPr>
      <w:r>
        <w:rPr>
          <w:rFonts w:hint="eastAsia" w:ascii="宋体" w:hAnsi="宋体" w:eastAsia="宋体" w:cs="宋体"/>
          <w:sz w:val="21"/>
          <w:szCs w:val="21"/>
        </w:rPr>
        <w:t>【</w:t>
      </w:r>
      <w:r>
        <w:rPr>
          <w:rFonts w:hint="eastAsia" w:ascii="宋体" w:hAnsi="宋体" w:eastAsia="宋体" w:cs="宋体"/>
          <w:b/>
          <w:sz w:val="21"/>
          <w:szCs w:val="21"/>
        </w:rPr>
        <w:t>摘要</w:t>
      </w:r>
      <w:r>
        <w:rPr>
          <w:rFonts w:hint="eastAsia" w:ascii="宋体" w:hAnsi="宋体" w:eastAsia="宋体" w:cs="宋体"/>
          <w:sz w:val="21"/>
          <w:szCs w:val="21"/>
        </w:rPr>
        <w:t xml:space="preserve">】  </w:t>
      </w:r>
      <w:r>
        <w:rPr>
          <w:rFonts w:hint="eastAsia" w:ascii="宋体" w:hAnsi="宋体" w:eastAsia="宋体" w:cs="宋体"/>
          <w:b/>
          <w:sz w:val="21"/>
          <w:szCs w:val="21"/>
        </w:rPr>
        <w:t>目的</w:t>
      </w:r>
      <w:r>
        <w:rPr>
          <w:rFonts w:hint="eastAsia" w:ascii="宋体" w:hAnsi="宋体" w:eastAsia="宋体" w:cs="宋体"/>
          <w:sz w:val="21"/>
          <w:szCs w:val="21"/>
        </w:rPr>
        <w:t xml:space="preserve">  </w:t>
      </w:r>
      <w:r>
        <w:rPr>
          <w:rFonts w:hint="eastAsia" w:ascii="宋体" w:hAnsi="宋体" w:eastAsia="宋体" w:cs="宋体"/>
          <w:kern w:val="0"/>
          <w:sz w:val="21"/>
          <w:szCs w:val="21"/>
          <w:lang w:val="zh-CN"/>
        </w:rPr>
        <w:t>分析改良加藤厚涂片法（</w:t>
      </w:r>
      <w:r>
        <w:rPr>
          <w:rFonts w:hint="default" w:ascii="Times New Roman" w:hAnsi="Times New Roman" w:eastAsia="宋体" w:cs="Times New Roman"/>
          <w:kern w:val="0"/>
          <w:sz w:val="21"/>
          <w:szCs w:val="21"/>
          <w:lang w:val="zh-CN"/>
        </w:rPr>
        <w:t>Kato-Katz</w:t>
      </w:r>
      <w:r>
        <w:rPr>
          <w:rFonts w:hint="eastAsia" w:ascii="宋体" w:hAnsi="宋体" w:eastAsia="宋体" w:cs="宋体"/>
          <w:kern w:val="0"/>
          <w:sz w:val="21"/>
          <w:szCs w:val="21"/>
          <w:lang w:val="zh-CN"/>
        </w:rPr>
        <w:t>）一送三检中单次涂片检出率规律，并探索单次涂片检出率与粪便中虫卵密度的相互关系。</w:t>
      </w:r>
      <w:r>
        <w:rPr>
          <w:rFonts w:hint="eastAsia" w:ascii="宋体" w:hAnsi="宋体" w:eastAsia="宋体" w:cs="宋体"/>
          <w:sz w:val="21"/>
          <w:szCs w:val="21"/>
        </w:rPr>
        <w:t xml:space="preserve">  </w:t>
      </w:r>
      <w:r>
        <w:rPr>
          <w:rFonts w:hint="eastAsia" w:ascii="宋体" w:hAnsi="宋体" w:eastAsia="宋体" w:cs="宋体"/>
          <w:b/>
          <w:sz w:val="21"/>
          <w:szCs w:val="21"/>
        </w:rPr>
        <w:t>方法</w:t>
      </w:r>
      <w:r>
        <w:rPr>
          <w:rFonts w:hint="eastAsia" w:ascii="宋体" w:hAnsi="宋体" w:eastAsia="宋体" w:cs="宋体"/>
          <w:sz w:val="21"/>
          <w:szCs w:val="21"/>
        </w:rPr>
        <w:t xml:space="preserve">  </w:t>
      </w:r>
      <w:r>
        <w:rPr>
          <w:rFonts w:hint="default" w:ascii="Times New Roman" w:hAnsi="Times New Roman" w:eastAsia="宋体" w:cs="Times New Roman"/>
          <w:kern w:val="0"/>
          <w:sz w:val="21"/>
          <w:szCs w:val="21"/>
        </w:rPr>
        <w:t>2006~2010</w:t>
      </w:r>
      <w:r>
        <w:rPr>
          <w:rFonts w:hint="eastAsia" w:ascii="宋体" w:hAnsi="宋体" w:eastAsia="宋体" w:cs="宋体"/>
          <w:kern w:val="0"/>
          <w:sz w:val="21"/>
          <w:szCs w:val="21"/>
          <w:lang w:val="zh-CN"/>
        </w:rPr>
        <w:t>年</w:t>
      </w:r>
      <w:r>
        <w:rPr>
          <w:rFonts w:hint="eastAsia" w:ascii="宋体" w:hAnsi="宋体" w:eastAsia="宋体" w:cs="宋体"/>
          <w:kern w:val="0"/>
          <w:sz w:val="21"/>
          <w:szCs w:val="21"/>
        </w:rPr>
        <w:t>，</w:t>
      </w:r>
      <w:r>
        <w:rPr>
          <w:rFonts w:hint="eastAsia" w:ascii="宋体" w:hAnsi="宋体" w:eastAsia="宋体" w:cs="宋体"/>
          <w:kern w:val="0"/>
          <w:sz w:val="21"/>
          <w:szCs w:val="21"/>
          <w:lang w:val="zh-CN"/>
        </w:rPr>
        <w:t>每年</w:t>
      </w:r>
      <w:r>
        <w:rPr>
          <w:rFonts w:hint="default" w:ascii="Times New Roman" w:hAnsi="Times New Roman" w:eastAsia="宋体" w:cs="Times New Roman"/>
          <w:kern w:val="0"/>
          <w:sz w:val="21"/>
          <w:szCs w:val="21"/>
        </w:rPr>
        <w:t>9~11</w:t>
      </w:r>
      <w:r>
        <w:rPr>
          <w:rFonts w:hint="eastAsia" w:ascii="宋体" w:hAnsi="宋体" w:eastAsia="宋体" w:cs="宋体"/>
          <w:kern w:val="0"/>
          <w:sz w:val="21"/>
          <w:szCs w:val="21"/>
          <w:lang w:val="zh-CN"/>
        </w:rPr>
        <w:t>月在安徽省蒙城县监测点采集</w:t>
      </w:r>
      <w:r>
        <w:rPr>
          <w:rFonts w:hint="default" w:ascii="Times New Roman" w:hAnsi="Times New Roman" w:eastAsia="宋体" w:cs="Times New Roman"/>
          <w:kern w:val="0"/>
          <w:sz w:val="21"/>
          <w:szCs w:val="21"/>
        </w:rPr>
        <w:t>3</w:t>
      </w:r>
      <w:r>
        <w:rPr>
          <w:rFonts w:hint="eastAsia" w:ascii="宋体" w:hAnsi="宋体" w:eastAsia="宋体" w:cs="宋体"/>
          <w:kern w:val="0"/>
          <w:sz w:val="21"/>
          <w:szCs w:val="21"/>
          <w:lang w:val="zh-CN"/>
        </w:rPr>
        <w:t>周岁以上常住居民的粪便</w:t>
      </w:r>
      <w:r>
        <w:rPr>
          <w:rFonts w:hint="eastAsia" w:ascii="宋体" w:hAnsi="宋体" w:eastAsia="宋体" w:cs="宋体"/>
          <w:kern w:val="0"/>
          <w:sz w:val="21"/>
          <w:szCs w:val="21"/>
        </w:rPr>
        <w:t>，</w:t>
      </w:r>
      <w:r>
        <w:rPr>
          <w:rFonts w:hint="eastAsia" w:ascii="宋体" w:hAnsi="宋体" w:eastAsia="宋体" w:cs="宋体"/>
          <w:kern w:val="0"/>
          <w:sz w:val="21"/>
          <w:szCs w:val="21"/>
          <w:lang w:val="zh-CN"/>
        </w:rPr>
        <w:t>采用改良加藤厚涂片法</w:t>
      </w:r>
      <w:r>
        <w:rPr>
          <w:rFonts w:hint="eastAsia" w:ascii="宋体" w:hAnsi="宋体" w:eastAsia="宋体" w:cs="宋体"/>
          <w:kern w:val="0"/>
          <w:sz w:val="21"/>
          <w:szCs w:val="21"/>
        </w:rPr>
        <w:t>（</w:t>
      </w:r>
      <w:r>
        <w:rPr>
          <w:rFonts w:hint="eastAsia" w:ascii="宋体" w:hAnsi="宋体" w:eastAsia="宋体" w:cs="宋体"/>
          <w:kern w:val="0"/>
          <w:sz w:val="21"/>
          <w:szCs w:val="21"/>
          <w:lang w:val="zh-CN"/>
        </w:rPr>
        <w:t>一送三检</w:t>
      </w:r>
      <w:r>
        <w:rPr>
          <w:rFonts w:hint="eastAsia" w:ascii="宋体" w:hAnsi="宋体" w:eastAsia="宋体" w:cs="宋体"/>
          <w:kern w:val="0"/>
          <w:sz w:val="21"/>
          <w:szCs w:val="21"/>
        </w:rPr>
        <w:t>）</w:t>
      </w:r>
      <w:r>
        <w:rPr>
          <w:rFonts w:hint="eastAsia" w:ascii="宋体" w:hAnsi="宋体" w:eastAsia="宋体" w:cs="宋体"/>
          <w:kern w:val="0"/>
          <w:sz w:val="21"/>
          <w:szCs w:val="21"/>
          <w:lang w:val="zh-CN"/>
        </w:rPr>
        <w:t>检查蛔虫、鞭虫和钩虫卵</w:t>
      </w:r>
      <w:r>
        <w:rPr>
          <w:rFonts w:hint="eastAsia" w:ascii="宋体" w:hAnsi="宋体" w:eastAsia="宋体" w:cs="宋体"/>
          <w:kern w:val="0"/>
          <w:sz w:val="21"/>
          <w:szCs w:val="21"/>
        </w:rPr>
        <w:t>；</w:t>
      </w:r>
      <w:r>
        <w:rPr>
          <w:rFonts w:hint="eastAsia" w:ascii="宋体" w:hAnsi="宋体" w:eastAsia="宋体" w:cs="宋体"/>
          <w:kern w:val="0"/>
          <w:sz w:val="21"/>
          <w:szCs w:val="21"/>
          <w:lang w:val="zh-CN"/>
        </w:rPr>
        <w:t>以片均虫卵数</w:t>
      </w:r>
      <w:r>
        <w:rPr>
          <w:rFonts w:hint="eastAsia" w:ascii="宋体" w:hAnsi="宋体" w:eastAsia="宋体" w:cs="宋体"/>
          <w:kern w:val="0"/>
          <w:sz w:val="21"/>
          <w:szCs w:val="21"/>
        </w:rPr>
        <w:t>（</w:t>
      </w:r>
      <w:r>
        <w:rPr>
          <w:rFonts w:hint="default" w:ascii="Times New Roman" w:hAnsi="Times New Roman" w:eastAsia="宋体" w:cs="Times New Roman"/>
          <w:kern w:val="0"/>
          <w:sz w:val="21"/>
          <w:szCs w:val="21"/>
        </w:rPr>
        <w:t>eggs per slide，EPS</w:t>
      </w:r>
      <w:r>
        <w:rPr>
          <w:rFonts w:hint="eastAsia" w:ascii="宋体" w:hAnsi="宋体" w:eastAsia="宋体" w:cs="宋体"/>
          <w:kern w:val="0"/>
          <w:sz w:val="21"/>
          <w:szCs w:val="21"/>
        </w:rPr>
        <w:t>）</w:t>
      </w:r>
      <w:r>
        <w:rPr>
          <w:rFonts w:hint="eastAsia" w:ascii="宋体" w:hAnsi="宋体" w:eastAsia="宋体" w:cs="宋体"/>
          <w:kern w:val="0"/>
          <w:sz w:val="21"/>
          <w:szCs w:val="21"/>
          <w:lang w:val="zh-CN"/>
        </w:rPr>
        <w:t>作为描述粪便虫卵密度的计算单位。对虫卵在</w:t>
      </w:r>
      <w:r>
        <w:rPr>
          <w:rFonts w:hint="eastAsia" w:ascii="宋体" w:hAnsi="宋体" w:eastAsia="宋体" w:cs="宋体"/>
          <w:kern w:val="0"/>
          <w:sz w:val="21"/>
          <w:szCs w:val="21"/>
        </w:rPr>
        <w:t>3</w:t>
      </w:r>
      <w:r>
        <w:rPr>
          <w:rFonts w:hint="eastAsia" w:ascii="宋体" w:hAnsi="宋体" w:eastAsia="宋体" w:cs="宋体"/>
          <w:kern w:val="0"/>
          <w:sz w:val="21"/>
          <w:szCs w:val="21"/>
          <w:lang w:val="zh-CN"/>
        </w:rPr>
        <w:t>张</w:t>
      </w:r>
      <w:r>
        <w:rPr>
          <w:rFonts w:hint="eastAsia" w:ascii="宋体" w:hAnsi="宋体" w:cs="宋体"/>
          <w:kern w:val="0"/>
          <w:sz w:val="21"/>
          <w:szCs w:val="21"/>
          <w:lang w:val="zh-CN"/>
        </w:rPr>
        <w:t>涂</w:t>
      </w:r>
      <w:r>
        <w:rPr>
          <w:rFonts w:hint="eastAsia" w:ascii="宋体" w:hAnsi="宋体" w:eastAsia="宋体" w:cs="宋体"/>
          <w:kern w:val="0"/>
          <w:sz w:val="21"/>
          <w:szCs w:val="21"/>
          <w:lang w:val="zh-CN"/>
        </w:rPr>
        <w:t>片中的各自出现概率进行分析和对比</w:t>
      </w:r>
      <w:r>
        <w:rPr>
          <w:rFonts w:hint="eastAsia" w:ascii="宋体" w:hAnsi="宋体" w:eastAsia="宋体" w:cs="宋体"/>
          <w:kern w:val="0"/>
          <w:sz w:val="21"/>
          <w:szCs w:val="21"/>
        </w:rPr>
        <w:t>。</w:t>
      </w:r>
      <w:r>
        <w:rPr>
          <w:rFonts w:hint="eastAsia" w:ascii="宋体" w:hAnsi="宋体" w:eastAsia="宋体" w:cs="宋体"/>
          <w:sz w:val="21"/>
          <w:szCs w:val="21"/>
        </w:rPr>
        <w:t xml:space="preserve">  </w:t>
      </w:r>
      <w:r>
        <w:rPr>
          <w:rFonts w:hint="eastAsia" w:ascii="宋体" w:hAnsi="宋体" w:eastAsia="宋体" w:cs="宋体"/>
          <w:b/>
          <w:sz w:val="21"/>
          <w:szCs w:val="21"/>
        </w:rPr>
        <w:t>结果</w:t>
      </w:r>
      <w:r>
        <w:rPr>
          <w:rFonts w:hint="eastAsia" w:ascii="宋体" w:hAnsi="宋体" w:eastAsia="宋体" w:cs="宋体"/>
          <w:sz w:val="21"/>
          <w:szCs w:val="21"/>
        </w:rPr>
        <w:t xml:space="preserve">  </w:t>
      </w:r>
      <w:r>
        <w:rPr>
          <w:rFonts w:hint="eastAsia" w:ascii="宋体" w:hAnsi="宋体" w:eastAsia="宋体" w:cs="宋体"/>
          <w:kern w:val="0"/>
          <w:sz w:val="21"/>
          <w:szCs w:val="21"/>
        </w:rPr>
        <w:t>3</w:t>
      </w:r>
      <w:r>
        <w:rPr>
          <w:rFonts w:hint="eastAsia" w:ascii="宋体" w:hAnsi="宋体" w:eastAsia="宋体" w:cs="宋体"/>
          <w:kern w:val="0"/>
          <w:sz w:val="21"/>
          <w:szCs w:val="21"/>
          <w:lang w:val="zh-CN"/>
        </w:rPr>
        <w:t>张涂片的虫卵出现率差异均无统计学意义。当</w:t>
      </w:r>
      <w:r>
        <w:rPr>
          <w:rFonts w:hint="default" w:ascii="Times New Roman" w:hAnsi="Times New Roman" w:eastAsia="宋体" w:cs="Times New Roman"/>
          <w:kern w:val="0"/>
          <w:sz w:val="21"/>
          <w:szCs w:val="21"/>
        </w:rPr>
        <w:t>EPS</w:t>
      </w:r>
      <w:r>
        <w:rPr>
          <w:rFonts w:hint="eastAsia" w:ascii="宋体" w:hAnsi="宋体" w:eastAsia="宋体" w:cs="宋体"/>
          <w:kern w:val="0"/>
          <w:sz w:val="21"/>
          <w:szCs w:val="21"/>
        </w:rPr>
        <w:t>&lt;2</w:t>
      </w:r>
      <w:r>
        <w:rPr>
          <w:rFonts w:hint="eastAsia" w:ascii="宋体" w:hAnsi="宋体" w:eastAsia="宋体" w:cs="宋体"/>
          <w:kern w:val="0"/>
          <w:sz w:val="21"/>
          <w:szCs w:val="21"/>
          <w:lang w:val="zh-CN"/>
        </w:rPr>
        <w:t>时，单张涂片的虫卵平均出现率为</w:t>
      </w:r>
      <w:r>
        <w:rPr>
          <w:rFonts w:hint="eastAsia" w:ascii="宋体" w:hAnsi="宋体" w:eastAsia="宋体" w:cs="宋体"/>
          <w:kern w:val="0"/>
          <w:sz w:val="21"/>
          <w:szCs w:val="21"/>
        </w:rPr>
        <w:t>52.26%</w:t>
      </w:r>
      <w:r>
        <w:rPr>
          <w:rFonts w:hint="eastAsia" w:ascii="宋体" w:hAnsi="宋体" w:eastAsia="宋体" w:cs="宋体"/>
          <w:kern w:val="0"/>
          <w:sz w:val="21"/>
          <w:szCs w:val="21"/>
          <w:lang w:val="zh-CN"/>
        </w:rPr>
        <w:t>；当</w:t>
      </w:r>
      <w:r>
        <w:rPr>
          <w:rFonts w:hint="default" w:ascii="Times New Roman" w:hAnsi="Times New Roman" w:eastAsia="宋体" w:cs="Times New Roman"/>
          <w:kern w:val="0"/>
          <w:sz w:val="21"/>
          <w:szCs w:val="21"/>
        </w:rPr>
        <w:t>EPS</w:t>
      </w:r>
      <w:r>
        <w:rPr>
          <w:rFonts w:hint="eastAsia" w:ascii="宋体" w:hAnsi="宋体" w:eastAsia="宋体" w:cs="宋体"/>
          <w:kern w:val="0"/>
          <w:sz w:val="21"/>
          <w:szCs w:val="21"/>
          <w:lang w:val="zh-CN"/>
        </w:rPr>
        <w:t>≥</w:t>
      </w:r>
      <w:r>
        <w:rPr>
          <w:rFonts w:hint="eastAsia" w:ascii="宋体" w:hAnsi="宋体" w:eastAsia="宋体" w:cs="宋体"/>
          <w:kern w:val="0"/>
          <w:sz w:val="21"/>
          <w:szCs w:val="21"/>
        </w:rPr>
        <w:t>16</w:t>
      </w:r>
      <w:r>
        <w:rPr>
          <w:rFonts w:hint="eastAsia" w:ascii="宋体" w:hAnsi="宋体" w:eastAsia="宋体" w:cs="宋体"/>
          <w:kern w:val="0"/>
          <w:sz w:val="21"/>
          <w:szCs w:val="21"/>
          <w:lang w:val="zh-CN"/>
        </w:rPr>
        <w:t>时，单张涂片虫卵出现率可达</w:t>
      </w:r>
      <w:r>
        <w:rPr>
          <w:rFonts w:hint="eastAsia" w:ascii="宋体" w:hAnsi="宋体" w:eastAsia="宋体" w:cs="宋体"/>
          <w:kern w:val="0"/>
          <w:sz w:val="21"/>
          <w:szCs w:val="21"/>
        </w:rPr>
        <w:t>99.26%</w:t>
      </w:r>
      <w:r>
        <w:rPr>
          <w:rFonts w:hint="eastAsia" w:ascii="宋体" w:hAnsi="宋体" w:eastAsia="宋体" w:cs="宋体"/>
          <w:kern w:val="0"/>
          <w:sz w:val="21"/>
          <w:szCs w:val="21"/>
          <w:lang w:val="zh-CN"/>
        </w:rPr>
        <w:t>。</w:t>
      </w:r>
      <w:r>
        <w:rPr>
          <w:rFonts w:hint="eastAsia" w:ascii="宋体" w:hAnsi="宋体" w:eastAsia="宋体" w:cs="宋体"/>
          <w:sz w:val="21"/>
          <w:szCs w:val="21"/>
        </w:rPr>
        <w:t xml:space="preserve">  </w:t>
      </w:r>
      <w:r>
        <w:rPr>
          <w:rFonts w:hint="eastAsia" w:ascii="宋体" w:hAnsi="宋体" w:eastAsia="宋体" w:cs="宋体"/>
          <w:b/>
          <w:sz w:val="21"/>
          <w:szCs w:val="21"/>
        </w:rPr>
        <w:t>结论</w:t>
      </w:r>
      <w:r>
        <w:rPr>
          <w:rFonts w:hint="eastAsia" w:ascii="宋体" w:hAnsi="宋体" w:eastAsia="宋体" w:cs="宋体"/>
          <w:sz w:val="21"/>
          <w:szCs w:val="21"/>
        </w:rPr>
        <w:t xml:space="preserve">  </w:t>
      </w:r>
      <w:r>
        <w:rPr>
          <w:rFonts w:hint="eastAsia" w:ascii="宋体" w:hAnsi="宋体" w:eastAsia="宋体" w:cs="宋体"/>
          <w:kern w:val="0"/>
          <w:sz w:val="21"/>
          <w:szCs w:val="21"/>
          <w:lang w:val="zh-CN"/>
        </w:rPr>
        <w:t>单张涂片的虫卵平均出现率与</w:t>
      </w:r>
      <w:r>
        <w:rPr>
          <w:rFonts w:hint="default" w:ascii="Times New Roman" w:hAnsi="Times New Roman" w:eastAsia="宋体" w:cs="Times New Roman"/>
          <w:kern w:val="0"/>
          <w:sz w:val="21"/>
          <w:szCs w:val="21"/>
          <w:lang w:val="zh-CN"/>
        </w:rPr>
        <w:t>EPS</w:t>
      </w:r>
      <w:r>
        <w:rPr>
          <w:rFonts w:hint="eastAsia" w:ascii="宋体" w:hAnsi="宋体" w:eastAsia="宋体" w:cs="宋体"/>
          <w:kern w:val="0"/>
          <w:sz w:val="21"/>
          <w:szCs w:val="21"/>
          <w:lang w:val="zh-CN"/>
        </w:rPr>
        <w:t>存在一定关联。</w:t>
      </w: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b/>
          <w:sz w:val="21"/>
          <w:szCs w:val="21"/>
        </w:rPr>
        <w:t>【关键词】</w:t>
      </w:r>
      <w:r>
        <w:rPr>
          <w:rFonts w:hint="eastAsia" w:ascii="宋体" w:hAnsi="宋体" w:eastAsia="宋体" w:cs="宋体"/>
          <w:sz w:val="21"/>
          <w:szCs w:val="21"/>
        </w:rPr>
        <w:t xml:space="preserve">  土源性线虫；</w:t>
      </w:r>
      <w:r>
        <w:rPr>
          <w:rFonts w:hint="default" w:ascii="Times New Roman" w:hAnsi="Times New Roman" w:eastAsia="宋体" w:cs="Times New Roman"/>
          <w:sz w:val="21"/>
          <w:szCs w:val="21"/>
        </w:rPr>
        <w:t>Kato-Katz</w:t>
      </w:r>
      <w:r>
        <w:rPr>
          <w:rFonts w:hint="eastAsia" w:ascii="宋体" w:hAnsi="宋体" w:eastAsia="宋体" w:cs="宋体"/>
          <w:sz w:val="21"/>
          <w:szCs w:val="21"/>
        </w:rPr>
        <w:t>法；检出率；粪便虫卵密度</w:t>
      </w:r>
    </w:p>
    <w:p>
      <w:pPr>
        <w:widowControl w:val="0"/>
        <w:wordWrap/>
        <w:snapToGrid/>
        <w:spacing w:before="0" w:after="0" w:line="240" w:lineRule="auto"/>
        <w:ind w:left="0" w:leftChars="0" w:right="0"/>
        <w:textAlignment w:val="auto"/>
        <w:outlineLvl w:val="9"/>
        <w:rPr>
          <w:rFonts w:ascii="Times New Roman" w:hAnsi="Times New Roman" w:eastAsia="仿宋_GB2312" w:cs="Times New Roman"/>
          <w:b/>
          <w:sz w:val="21"/>
          <w:szCs w:val="21"/>
        </w:rPr>
      </w:pPr>
    </w:p>
    <w:p>
      <w:pPr>
        <w:widowControl w:val="0"/>
        <w:wordWrap/>
        <w:snapToGrid/>
        <w:spacing w:before="0" w:after="0" w:line="240" w:lineRule="auto"/>
        <w:ind w:left="0" w:leftChars="0" w:right="0"/>
        <w:textAlignment w:val="auto"/>
        <w:outlineLvl w:val="9"/>
        <w:rPr>
          <w:rFonts w:ascii="Times New Roman" w:hAnsi="Times New Roman" w:eastAsia="仿宋_GB2312" w:cs="Times New Roman"/>
          <w:i/>
          <w:sz w:val="21"/>
          <w:szCs w:val="21"/>
        </w:rPr>
      </w:pPr>
      <w:r>
        <w:rPr>
          <w:rFonts w:ascii="Times New Roman" w:hAnsi="Times New Roman" w:eastAsia="仿宋_GB2312" w:cs="Times New Roman"/>
          <w:b/>
          <w:sz w:val="21"/>
          <w:szCs w:val="21"/>
        </w:rPr>
        <w:t xml:space="preserve">Analysis the detective effect of one of the three slides of Kato-Katz “one stool specimen-three slides” technique in the examination of the eggs of soil-transmitted nematodes  </w:t>
      </w:r>
      <w:r>
        <w:rPr>
          <w:rFonts w:ascii="Times New Roman" w:hAnsi="Times New Roman" w:eastAsia="仿宋_GB2312" w:cs="Times New Roman"/>
          <w:i/>
          <w:sz w:val="21"/>
          <w:szCs w:val="21"/>
        </w:rPr>
        <w:t>ZHOU li, JIN wei</w:t>
      </w:r>
      <w:r>
        <w:rPr>
          <w:rFonts w:hint="eastAsia" w:ascii="Times New Roman" w:hAnsi="Times New Roman" w:eastAsia="仿宋_GB2312" w:cs="Times New Roman"/>
          <w:i/>
          <w:sz w:val="21"/>
          <w:szCs w:val="21"/>
          <w:vertAlign w:val="superscript"/>
        </w:rPr>
        <w:t>*</w:t>
      </w:r>
      <w:r>
        <w:rPr>
          <w:rFonts w:ascii="Times New Roman" w:hAnsi="Times New Roman" w:eastAsia="仿宋_GB2312" w:cs="Times New Roman"/>
          <w:i/>
          <w:sz w:val="21"/>
          <w:szCs w:val="21"/>
        </w:rPr>
        <w:t xml:space="preserve">, GUO jian-duo, ZHU lei, LUO junping. </w:t>
      </w:r>
      <w:r>
        <w:rPr>
          <w:rFonts w:hint="eastAsia" w:ascii="Times New Roman" w:hAnsi="Times New Roman" w:eastAsia="仿宋_GB2312" w:cs="Times New Roman"/>
          <w:i/>
          <w:sz w:val="21"/>
          <w:szCs w:val="21"/>
          <w:lang w:val="en-US" w:eastAsia="zh-CN"/>
        </w:rPr>
        <w:t xml:space="preserve">LI qiyang, </w:t>
      </w:r>
      <w:r>
        <w:rPr>
          <w:rFonts w:ascii="Times New Roman" w:hAnsi="Times New Roman" w:eastAsia="仿宋_GB2312" w:cs="Times New Roman"/>
          <w:i/>
          <w:sz w:val="21"/>
          <w:szCs w:val="21"/>
        </w:rPr>
        <w:t>Anhui Provinical Institute of Schistosomiasis, Hefei 230061, China</w:t>
      </w:r>
    </w:p>
    <w:p>
      <w:pPr>
        <w:widowControl w:val="0"/>
        <w:wordWrap/>
        <w:snapToGrid/>
        <w:spacing w:before="0" w:after="0" w:line="240" w:lineRule="auto"/>
        <w:ind w:left="0" w:leftChars="0" w:right="0"/>
        <w:textAlignment w:val="auto"/>
        <w:outlineLvl w:val="9"/>
        <w:rPr>
          <w:rFonts w:ascii="Times New Roman" w:hAnsi="Times New Roman" w:eastAsia="仿宋_GB2312" w:cs="Times New Roman"/>
          <w:i/>
          <w:sz w:val="21"/>
          <w:szCs w:val="21"/>
        </w:rPr>
      </w:pPr>
      <w:r>
        <w:rPr>
          <w:rFonts w:ascii="Times New Roman" w:hAnsi="Times New Roman" w:eastAsia="仿宋_GB2312" w:cs="Times New Roman"/>
          <w:i/>
          <w:sz w:val="21"/>
          <w:szCs w:val="21"/>
        </w:rPr>
        <w:t xml:space="preserve">*Corresponding author: Jin wei, Email: </w:t>
      </w:r>
      <w:r>
        <w:rPr>
          <w:sz w:val="21"/>
          <w:szCs w:val="21"/>
        </w:rPr>
        <w:fldChar w:fldCharType="begin"/>
      </w:r>
      <w:r>
        <w:rPr>
          <w:sz w:val="21"/>
          <w:szCs w:val="21"/>
        </w:rPr>
        <w:instrText xml:space="preserve">HYPERLINK "mailto:greatking.w@gmail.com" </w:instrText>
      </w:r>
      <w:r>
        <w:rPr>
          <w:sz w:val="21"/>
          <w:szCs w:val="21"/>
        </w:rPr>
        <w:fldChar w:fldCharType="separate"/>
      </w:r>
      <w:r>
        <w:rPr>
          <w:rFonts w:ascii="Times New Roman" w:hAnsi="Times New Roman" w:cs="Times New Roman"/>
          <w:i/>
          <w:sz w:val="21"/>
          <w:szCs w:val="21"/>
        </w:rPr>
        <w:t>greatking.w@gmail.com</w:t>
      </w:r>
      <w:r>
        <w:rPr>
          <w:sz w:val="21"/>
          <w:szCs w:val="21"/>
        </w:rPr>
        <w:fldChar w:fldCharType="end"/>
      </w:r>
    </w:p>
    <w:p>
      <w:pPr>
        <w:widowControl w:val="0"/>
        <w:wordWrap/>
        <w:autoSpaceDE w:val="0"/>
        <w:autoSpaceDN w:val="0"/>
        <w:adjustRightInd w:val="0"/>
        <w:snapToGrid/>
        <w:spacing w:before="0" w:after="0" w:line="240" w:lineRule="auto"/>
        <w:ind w:left="0" w:leftChars="0" w:right="0"/>
        <w:textAlignment w:val="auto"/>
        <w:outlineLvl w:val="9"/>
        <w:rPr>
          <w:rFonts w:ascii="Times New Roman" w:hAnsi="Times New Roman" w:eastAsia="仿宋_GB2312" w:cs="Times New Roman"/>
          <w:color w:val="FF0000"/>
          <w:sz w:val="21"/>
          <w:szCs w:val="21"/>
        </w:rPr>
      </w:pPr>
      <w:r>
        <w:rPr>
          <w:rFonts w:ascii="Times New Roman" w:hAnsi="Times New Roman" w:eastAsia="仿宋_GB2312" w:cs="Times New Roman"/>
          <w:b/>
          <w:sz w:val="21"/>
          <w:szCs w:val="21"/>
        </w:rPr>
        <w:t>【Abstract】Objective</w:t>
      </w:r>
      <w:r>
        <w:rPr>
          <w:rFonts w:hint="eastAsia" w:ascii="Times New Roman" w:hAnsi="Times New Roman" w:eastAsia="仿宋_GB2312" w:cs="Times New Roman"/>
          <w:b/>
          <w:sz w:val="21"/>
          <w:szCs w:val="21"/>
          <w:lang w:val="en-US" w:eastAsia="zh-CN"/>
        </w:rPr>
        <w:t xml:space="preserve">  </w:t>
      </w:r>
      <w:r>
        <w:rPr>
          <w:rFonts w:hint="eastAsia" w:ascii="Times New Roman" w:hAnsi="Times New Roman" w:eastAsia="仿宋_GB2312"/>
          <w:sz w:val="21"/>
          <w:szCs w:val="21"/>
        </w:rPr>
        <w:t>To a</w:t>
      </w:r>
      <w:r>
        <w:rPr>
          <w:rFonts w:ascii="Times New Roman" w:hAnsi="Times New Roman" w:eastAsia="仿宋_GB2312"/>
          <w:sz w:val="21"/>
          <w:szCs w:val="21"/>
        </w:rPr>
        <w:t>nalysis the detective effect of one of the three slides of Kato-Katz “one stool specimen-three slides” technique in the examination of the eggs of soil-transmitted nematodes</w:t>
      </w:r>
      <w:r>
        <w:rPr>
          <w:rFonts w:hint="eastAsia" w:ascii="Times New Roman" w:hAnsi="Times New Roman" w:eastAsia="仿宋_GB2312"/>
          <w:sz w:val="21"/>
          <w:szCs w:val="21"/>
        </w:rPr>
        <w:t xml:space="preserve"> and explore the </w:t>
      </w:r>
      <w:r>
        <w:rPr>
          <w:rFonts w:ascii="Times New Roman" w:hAnsi="Times New Roman" w:eastAsia="仿宋_GB2312"/>
          <w:sz w:val="21"/>
          <w:szCs w:val="21"/>
        </w:rPr>
        <w:t>interrelation</w:t>
      </w:r>
      <w:r>
        <w:rPr>
          <w:rFonts w:hint="eastAsia" w:ascii="Times New Roman" w:hAnsi="Times New Roman" w:eastAsia="仿宋_GB2312"/>
          <w:sz w:val="21"/>
          <w:szCs w:val="21"/>
        </w:rPr>
        <w:t xml:space="preserve"> between the detection rate of singe slide of </w:t>
      </w:r>
      <w:r>
        <w:rPr>
          <w:rFonts w:ascii="Times New Roman" w:hAnsi="Times New Roman" w:eastAsia="仿宋_GB2312"/>
          <w:sz w:val="21"/>
          <w:szCs w:val="21"/>
        </w:rPr>
        <w:t>Kato-Katz</w:t>
      </w:r>
      <w:r>
        <w:rPr>
          <w:rFonts w:hint="eastAsia" w:ascii="Times New Roman" w:hAnsi="Times New Roman" w:eastAsia="仿宋_GB2312"/>
          <w:sz w:val="21"/>
          <w:szCs w:val="21"/>
        </w:rPr>
        <w:t xml:space="preserve"> and</w:t>
      </w:r>
      <w:r>
        <w:rPr>
          <w:sz w:val="21"/>
          <w:szCs w:val="21"/>
        </w:rPr>
        <w:t xml:space="preserve"> </w:t>
      </w:r>
      <w:r>
        <w:rPr>
          <w:rFonts w:ascii="Times New Roman" w:hAnsi="Times New Roman" w:eastAsia="仿宋_GB2312"/>
          <w:sz w:val="21"/>
          <w:szCs w:val="21"/>
        </w:rPr>
        <w:t>the egg densities of the stool samples</w:t>
      </w:r>
      <w:r>
        <w:rPr>
          <w:rFonts w:hint="eastAsia" w:ascii="Times New Roman" w:hAnsi="Times New Roman" w:eastAsia="仿宋_GB2312"/>
          <w:sz w:val="21"/>
          <w:szCs w:val="21"/>
        </w:rPr>
        <w:t>.</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lang w:val="en-US" w:eastAsia="zh-CN"/>
        </w:rPr>
        <w:t xml:space="preserve"> </w:t>
      </w:r>
      <w:r>
        <w:rPr>
          <w:rFonts w:ascii="Times New Roman" w:hAnsi="Times New Roman" w:eastAsia="仿宋_GB2312" w:cs="Times New Roman"/>
          <w:b/>
          <w:sz w:val="21"/>
          <w:szCs w:val="21"/>
        </w:rPr>
        <w:t>Methods</w:t>
      </w:r>
      <w:r>
        <w:rPr>
          <w:rFonts w:ascii="Times New Roman" w:hAnsi="Times New Roman" w:eastAsia="仿宋_GB2312" w:cs="Times New Roman"/>
          <w:sz w:val="21"/>
          <w:szCs w:val="21"/>
        </w:rPr>
        <w:t xml:space="preserve"> </w:t>
      </w:r>
      <w:r>
        <w:rPr>
          <w:rFonts w:hint="eastAsia" w:ascii="Times New Roman" w:hAnsi="Times New Roman" w:eastAsia="仿宋_GB2312"/>
          <w:sz w:val="21"/>
          <w:szCs w:val="21"/>
        </w:rPr>
        <w:t>The s</w:t>
      </w:r>
      <w:r>
        <w:rPr>
          <w:rFonts w:ascii="Times New Roman" w:hAnsi="Times New Roman" w:eastAsia="仿宋_GB2312"/>
          <w:sz w:val="21"/>
          <w:szCs w:val="21"/>
        </w:rPr>
        <w:t xml:space="preserve">tool samples of the residents at </w:t>
      </w:r>
      <w:r>
        <w:rPr>
          <w:rFonts w:hint="eastAsia" w:ascii="Times New Roman" w:hAnsi="Times New Roman" w:eastAsia="仿宋_GB2312"/>
          <w:sz w:val="21"/>
          <w:szCs w:val="21"/>
        </w:rPr>
        <w:t>Mengcheng County in Anhui</w:t>
      </w:r>
      <w:r>
        <w:rPr>
          <w:rFonts w:ascii="Times New Roman" w:hAnsi="Times New Roman" w:eastAsia="仿宋_GB2312"/>
          <w:sz w:val="21"/>
          <w:szCs w:val="21"/>
        </w:rPr>
        <w:t xml:space="preserve"> were collected and examined for </w:t>
      </w:r>
      <w:r>
        <w:rPr>
          <w:rFonts w:ascii="Times New Roman" w:hAnsi="Times New Roman" w:eastAsia="仿宋_GB2312"/>
          <w:i/>
          <w:sz w:val="21"/>
          <w:szCs w:val="21"/>
        </w:rPr>
        <w:t>Ascaris lumbricoides</w:t>
      </w:r>
      <w:r>
        <w:rPr>
          <w:rFonts w:ascii="Times New Roman" w:hAnsi="Times New Roman" w:eastAsia="仿宋_GB2312"/>
          <w:sz w:val="21"/>
          <w:szCs w:val="21"/>
        </w:rPr>
        <w:t xml:space="preserve">, </w:t>
      </w:r>
      <w:r>
        <w:rPr>
          <w:rFonts w:ascii="Times New Roman" w:hAnsi="Times New Roman" w:eastAsia="仿宋_GB2312"/>
          <w:i/>
          <w:sz w:val="21"/>
          <w:szCs w:val="21"/>
        </w:rPr>
        <w:t>Trichuris trichiura</w:t>
      </w:r>
      <w:r>
        <w:rPr>
          <w:rFonts w:ascii="Times New Roman" w:hAnsi="Times New Roman" w:eastAsia="仿宋_GB2312"/>
          <w:sz w:val="21"/>
          <w:szCs w:val="21"/>
        </w:rPr>
        <w:t xml:space="preserve"> and hookworms with modified Kato- Katz thick smear “one stool specimen-three slides”</w:t>
      </w:r>
      <w:r>
        <w:rPr>
          <w:rFonts w:hint="eastAsia" w:ascii="Times New Roman" w:hAnsi="Times New Roman" w:eastAsia="仿宋_GB2312"/>
          <w:sz w:val="21"/>
          <w:szCs w:val="21"/>
        </w:rPr>
        <w:t xml:space="preserve"> </w:t>
      </w:r>
      <w:r>
        <w:rPr>
          <w:rFonts w:ascii="Times New Roman" w:hAnsi="Times New Roman" w:eastAsia="仿宋_GB2312"/>
          <w:sz w:val="21"/>
          <w:szCs w:val="21"/>
        </w:rPr>
        <w:t>from September to November</w:t>
      </w:r>
      <w:r>
        <w:rPr>
          <w:rFonts w:hint="eastAsia" w:ascii="Times New Roman" w:hAnsi="Times New Roman" w:eastAsia="仿宋_GB2312"/>
          <w:sz w:val="21"/>
          <w:szCs w:val="21"/>
        </w:rPr>
        <w:t xml:space="preserve">, </w:t>
      </w:r>
      <w:r>
        <w:rPr>
          <w:rFonts w:ascii="Times New Roman" w:hAnsi="Times New Roman" w:eastAsia="仿宋_GB2312"/>
          <w:sz w:val="21"/>
          <w:szCs w:val="21"/>
        </w:rPr>
        <w:t>2006 to 20</w:t>
      </w:r>
      <w:r>
        <w:rPr>
          <w:rFonts w:hint="eastAsia" w:ascii="Times New Roman" w:hAnsi="Times New Roman" w:eastAsia="仿宋_GB2312"/>
          <w:sz w:val="21"/>
          <w:szCs w:val="21"/>
        </w:rPr>
        <w:t xml:space="preserve">10. </w:t>
      </w:r>
      <w:r>
        <w:rPr>
          <w:rFonts w:hint="eastAsia" w:ascii="Times New Roman" w:hAnsi="Times New Roman" w:cs="Times New Roman"/>
          <w:kern w:val="0"/>
          <w:sz w:val="21"/>
          <w:szCs w:val="21"/>
        </w:rPr>
        <w:t>EPS (E</w:t>
      </w:r>
      <w:r>
        <w:rPr>
          <w:rFonts w:ascii="Times New Roman" w:hAnsi="Times New Roman" w:cs="Times New Roman"/>
          <w:kern w:val="0"/>
          <w:sz w:val="21"/>
          <w:szCs w:val="21"/>
        </w:rPr>
        <w:t>ggs per slide</w:t>
      </w:r>
      <w:r>
        <w:rPr>
          <w:rFonts w:hint="eastAsia" w:ascii="Times New Roman" w:hAnsi="Times New Roman" w:cs="Times New Roman"/>
          <w:kern w:val="0"/>
          <w:sz w:val="21"/>
          <w:szCs w:val="21"/>
        </w:rPr>
        <w:t xml:space="preserve">) was used to </w:t>
      </w:r>
      <w:r>
        <w:rPr>
          <w:rFonts w:ascii="Times New Roman" w:hAnsi="Times New Roman" w:cs="Times New Roman"/>
          <w:kern w:val="0"/>
          <w:sz w:val="21"/>
          <w:szCs w:val="21"/>
        </w:rPr>
        <w:t>describe</w:t>
      </w:r>
      <w:r>
        <w:rPr>
          <w:rFonts w:hint="eastAsia" w:ascii="Times New Roman" w:hAnsi="Times New Roman" w:cs="Times New Roman"/>
          <w:kern w:val="0"/>
          <w:sz w:val="21"/>
          <w:szCs w:val="21"/>
        </w:rPr>
        <w:t xml:space="preserve"> </w:t>
      </w:r>
      <w:r>
        <w:rPr>
          <w:rFonts w:ascii="Times New Roman" w:hAnsi="Times New Roman" w:eastAsia="仿宋_GB2312"/>
          <w:sz w:val="21"/>
          <w:szCs w:val="21"/>
        </w:rPr>
        <w:t>the egg densities of the stool samples</w:t>
      </w:r>
      <w:r>
        <w:rPr>
          <w:rFonts w:hint="eastAsia" w:ascii="Times New Roman" w:hAnsi="Times New Roman" w:eastAsia="仿宋_GB2312"/>
          <w:sz w:val="21"/>
          <w:szCs w:val="21"/>
        </w:rPr>
        <w:t>.</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lang w:val="en-US" w:eastAsia="zh-CN"/>
        </w:rPr>
        <w:t xml:space="preserve"> </w:t>
      </w:r>
      <w:r>
        <w:rPr>
          <w:rFonts w:ascii="Times New Roman" w:hAnsi="Times New Roman" w:eastAsia="仿宋_GB2312" w:cs="Times New Roman"/>
          <w:b/>
          <w:sz w:val="21"/>
          <w:szCs w:val="21"/>
        </w:rPr>
        <w:t>Results</w:t>
      </w:r>
      <w:r>
        <w:rPr>
          <w:rFonts w:ascii="Times New Roman" w:hAnsi="Times New Roman" w:eastAsia="仿宋_GB2312" w:cs="Times New Roman"/>
          <w:sz w:val="21"/>
          <w:szCs w:val="21"/>
        </w:rPr>
        <w:t xml:space="preserve"> The</w:t>
      </w:r>
      <w:r>
        <w:rPr>
          <w:rFonts w:hint="eastAsia" w:ascii="Times New Roman" w:hAnsi="Times New Roman" w:eastAsia="仿宋_GB2312" w:cs="Times New Roman"/>
          <w:sz w:val="21"/>
          <w:szCs w:val="21"/>
        </w:rPr>
        <w:t xml:space="preserve"> </w:t>
      </w:r>
      <w:r>
        <w:rPr>
          <w:rFonts w:ascii="Times New Roman" w:hAnsi="Times New Roman" w:eastAsia="仿宋_GB2312" w:cs="Times New Roman"/>
          <w:sz w:val="21"/>
          <w:szCs w:val="21"/>
        </w:rPr>
        <w:t>difference</w:t>
      </w:r>
      <w:r>
        <w:rPr>
          <w:rFonts w:hint="eastAsia" w:ascii="Times New Roman" w:hAnsi="Times New Roman" w:eastAsia="仿宋_GB2312" w:cs="Times New Roman"/>
          <w:sz w:val="21"/>
          <w:szCs w:val="21"/>
        </w:rPr>
        <w:t xml:space="preserve"> of</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 xml:space="preserve">the </w:t>
      </w:r>
      <w:r>
        <w:rPr>
          <w:rFonts w:ascii="Times New Roman" w:hAnsi="Times New Roman" w:eastAsia="仿宋_GB2312" w:cs="Times New Roman"/>
          <w:sz w:val="21"/>
          <w:szCs w:val="21"/>
        </w:rPr>
        <w:t>occurrence rate</w:t>
      </w:r>
      <w:r>
        <w:rPr>
          <w:rFonts w:hint="eastAsia" w:ascii="Times New Roman" w:hAnsi="Times New Roman" w:eastAsia="仿宋_GB2312" w:cs="Times New Roman"/>
          <w:sz w:val="21"/>
          <w:szCs w:val="21"/>
        </w:rPr>
        <w:t xml:space="preserve"> of eggs </w:t>
      </w:r>
      <w:r>
        <w:rPr>
          <w:rFonts w:ascii="Times New Roman" w:hAnsi="Times New Roman" w:eastAsia="仿宋_GB2312" w:cs="Times New Roman"/>
          <w:sz w:val="21"/>
          <w:szCs w:val="21"/>
        </w:rPr>
        <w:t xml:space="preserve">was no statistical significance </w:t>
      </w:r>
      <w:r>
        <w:rPr>
          <w:rFonts w:hint="eastAsia" w:ascii="Times New Roman" w:hAnsi="Times New Roman" w:eastAsia="仿宋_GB2312" w:cs="Times New Roman"/>
          <w:sz w:val="21"/>
          <w:szCs w:val="21"/>
        </w:rPr>
        <w:t>among the three slides</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 xml:space="preserve">The </w:t>
      </w:r>
      <w:r>
        <w:rPr>
          <w:rFonts w:ascii="Times New Roman" w:hAnsi="Times New Roman" w:eastAsia="仿宋_GB2312" w:cs="Times New Roman"/>
          <w:sz w:val="21"/>
          <w:szCs w:val="21"/>
        </w:rPr>
        <w:t>occurrence rate</w:t>
      </w:r>
      <w:r>
        <w:rPr>
          <w:rFonts w:hint="eastAsia" w:ascii="Times New Roman" w:hAnsi="Times New Roman" w:eastAsia="仿宋_GB2312" w:cs="Times New Roman"/>
          <w:sz w:val="21"/>
          <w:szCs w:val="21"/>
        </w:rPr>
        <w:t xml:space="preserve"> of eggs was 52.26% when the EPS less than 2 and was 99.26% when it </w:t>
      </w:r>
      <w:r>
        <w:rPr>
          <w:rFonts w:ascii="Times New Roman" w:hAnsi="Times New Roman" w:eastAsia="仿宋_GB2312" w:cs="Times New Roman"/>
          <w:sz w:val="21"/>
          <w:szCs w:val="21"/>
        </w:rPr>
        <w:t>greater than or equal to</w:t>
      </w:r>
      <w:r>
        <w:rPr>
          <w:rFonts w:hint="eastAsia" w:ascii="Times New Roman" w:hAnsi="Times New Roman" w:eastAsia="仿宋_GB2312" w:cs="Times New Roman"/>
          <w:sz w:val="21"/>
          <w:szCs w:val="21"/>
        </w:rPr>
        <w:t xml:space="preserve"> 16. </w:t>
      </w:r>
      <w:r>
        <w:rPr>
          <w:rFonts w:ascii="Times New Roman" w:hAnsi="Times New Roman" w:eastAsia="仿宋_GB2312" w:cs="Times New Roman"/>
          <w:b/>
          <w:sz w:val="21"/>
          <w:szCs w:val="21"/>
        </w:rPr>
        <w:t xml:space="preserve"> Conclusion</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 xml:space="preserve">The </w:t>
      </w:r>
      <w:r>
        <w:rPr>
          <w:rFonts w:ascii="Times New Roman" w:hAnsi="Times New Roman" w:eastAsia="仿宋_GB2312" w:cs="Times New Roman"/>
          <w:sz w:val="21"/>
          <w:szCs w:val="21"/>
        </w:rPr>
        <w:t>occurrence rate</w:t>
      </w:r>
      <w:r>
        <w:rPr>
          <w:rFonts w:hint="eastAsia" w:ascii="Times New Roman" w:hAnsi="Times New Roman" w:eastAsia="仿宋_GB2312" w:cs="Times New Roman"/>
          <w:sz w:val="21"/>
          <w:szCs w:val="21"/>
        </w:rPr>
        <w:t xml:space="preserve"> of eggs of </w:t>
      </w:r>
      <w:r>
        <w:rPr>
          <w:rFonts w:hint="eastAsia" w:ascii="Times New Roman" w:hAnsi="Times New Roman" w:eastAsia="仿宋_GB2312"/>
          <w:sz w:val="21"/>
          <w:szCs w:val="21"/>
        </w:rPr>
        <w:t xml:space="preserve">singe slide of </w:t>
      </w:r>
      <w:r>
        <w:rPr>
          <w:rFonts w:ascii="Times New Roman" w:hAnsi="Times New Roman" w:eastAsia="仿宋_GB2312"/>
          <w:sz w:val="21"/>
          <w:szCs w:val="21"/>
        </w:rPr>
        <w:t>Kato-Katz</w:t>
      </w:r>
      <w:r>
        <w:rPr>
          <w:rFonts w:hint="eastAsia" w:ascii="Times New Roman" w:hAnsi="Times New Roman" w:eastAsia="仿宋_GB2312"/>
          <w:sz w:val="21"/>
          <w:szCs w:val="21"/>
        </w:rPr>
        <w:t xml:space="preserve"> </w:t>
      </w:r>
      <w:r>
        <w:rPr>
          <w:rFonts w:ascii="Times New Roman" w:hAnsi="Times New Roman" w:eastAsia="仿宋_GB2312" w:cs="Times New Roman"/>
          <w:sz w:val="21"/>
          <w:szCs w:val="21"/>
        </w:rPr>
        <w:t>may be associated with</w:t>
      </w:r>
      <w:r>
        <w:rPr>
          <w:rFonts w:hint="eastAsia" w:ascii="Times New Roman" w:hAnsi="Times New Roman" w:eastAsia="仿宋_GB2312" w:cs="Times New Roman"/>
          <w:sz w:val="21"/>
          <w:szCs w:val="21"/>
        </w:rPr>
        <w:t xml:space="preserve"> EPS</w:t>
      </w:r>
      <w:r>
        <w:rPr>
          <w:rFonts w:ascii="Times New Roman" w:hAnsi="Times New Roman" w:eastAsia="仿宋_GB2312" w:cs="Times New Roman"/>
          <w:sz w:val="21"/>
          <w:szCs w:val="21"/>
        </w:rPr>
        <w:t>.</w:t>
      </w:r>
    </w:p>
    <w:p>
      <w:pPr>
        <w:widowControl w:val="0"/>
        <w:wordWrap/>
        <w:snapToGrid/>
        <w:spacing w:before="0" w:after="0" w:line="240" w:lineRule="auto"/>
        <w:ind w:left="0" w:leftChars="0" w:right="0"/>
        <w:textAlignment w:val="auto"/>
        <w:outlineLvl w:val="9"/>
        <w:rPr>
          <w:rFonts w:ascii="Times New Roman" w:hAnsi="Times New Roman" w:cs="Times New Roman"/>
          <w:sz w:val="21"/>
          <w:szCs w:val="21"/>
        </w:rPr>
      </w:pPr>
      <w:r>
        <w:rPr>
          <w:rFonts w:ascii="Times New Roman" w:hAnsi="Times New Roman" w:eastAsia="仿宋_GB2312" w:cs="Times New Roman"/>
          <w:b/>
          <w:sz w:val="21"/>
          <w:szCs w:val="21"/>
        </w:rPr>
        <w:t>【Key words】</w:t>
      </w:r>
      <w:r>
        <w:rPr>
          <w:rFonts w:ascii="Times New Roman" w:hAnsi="Times New Roman" w:eastAsia="仿宋_GB2312" w:cs="Times New Roman"/>
          <w:sz w:val="21"/>
          <w:szCs w:val="21"/>
        </w:rPr>
        <w:t xml:space="preserve">  Soil-transmitted nematodes; Kato-Katz technique; Detective rate; </w:t>
      </w:r>
      <w:r>
        <w:rPr>
          <w:rFonts w:hint="eastAsia" w:ascii="Times New Roman" w:hAnsi="Times New Roman" w:eastAsia="仿宋_GB2312"/>
          <w:sz w:val="21"/>
          <w:szCs w:val="21"/>
        </w:rPr>
        <w:t>E</w:t>
      </w:r>
      <w:r>
        <w:rPr>
          <w:rFonts w:ascii="Times New Roman" w:hAnsi="Times New Roman" w:eastAsia="仿宋_GB2312"/>
          <w:sz w:val="21"/>
          <w:szCs w:val="21"/>
        </w:rPr>
        <w:t>gg densities of the stool samples</w:t>
      </w:r>
    </w:p>
    <w:p>
      <w:pPr>
        <w:widowControl w:val="0"/>
        <w:wordWrap/>
        <w:autoSpaceDE w:val="0"/>
        <w:autoSpaceDN w:val="0"/>
        <w:adjustRightInd w:val="0"/>
        <w:snapToGrid/>
        <w:spacing w:before="0" w:after="0" w:line="240" w:lineRule="auto"/>
        <w:ind w:left="0" w:leftChars="0" w:right="0"/>
        <w:jc w:val="left"/>
        <w:textAlignment w:val="auto"/>
        <w:outlineLvl w:val="9"/>
        <w:rPr>
          <w:rFonts w:hint="eastAsia" w:ascii="宋体" w:hAnsi="宋体" w:eastAsia="宋体" w:cs="宋体"/>
          <w:bCs/>
          <w:sz w:val="21"/>
          <w:szCs w:val="21"/>
        </w:rPr>
      </w:pP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sz w:val="24"/>
          <w:szCs w:val="24"/>
          <w:lang w:val="en-US" w:eastAsia="zh-CN"/>
        </w:rPr>
        <w:t xml:space="preserve">    </w:t>
      </w:r>
      <w:r>
        <w:rPr>
          <w:rFonts w:hint="eastAsia" w:ascii="宋体" w:hAnsi="宋体" w:eastAsia="宋体" w:cs="宋体"/>
          <w:sz w:val="24"/>
          <w:szCs w:val="24"/>
        </w:rPr>
        <w:t>改良</w:t>
      </w:r>
      <w:r>
        <w:rPr>
          <w:rFonts w:hint="eastAsia" w:ascii="宋体" w:hAnsi="宋体" w:eastAsia="宋体" w:cs="宋体"/>
          <w:sz w:val="24"/>
          <w:szCs w:val="24"/>
          <w:lang w:eastAsia="zh-CN"/>
        </w:rPr>
        <w:t>加藤</w:t>
      </w:r>
      <w:r>
        <w:rPr>
          <w:rFonts w:hint="eastAsia" w:ascii="宋体" w:hAnsi="宋体" w:eastAsia="宋体" w:cs="宋体"/>
          <w:sz w:val="24"/>
          <w:szCs w:val="24"/>
        </w:rPr>
        <w:t>厚涂片法</w:t>
      </w:r>
      <w:r>
        <w:rPr>
          <w:rFonts w:hint="eastAsia" w:ascii="宋体" w:hAnsi="宋体" w:eastAsia="宋体" w:cs="宋体"/>
          <w:sz w:val="24"/>
          <w:szCs w:val="24"/>
          <w:lang w:eastAsia="zh-CN"/>
        </w:rPr>
        <w:t>（</w:t>
      </w:r>
      <w:r>
        <w:rPr>
          <w:rFonts w:hint="eastAsia" w:ascii="宋体" w:hAnsi="宋体" w:eastAsia="宋体" w:cs="宋体"/>
          <w:sz w:val="24"/>
          <w:szCs w:val="24"/>
        </w:rPr>
        <w:t>Kato-Katz</w:t>
      </w:r>
      <w:r>
        <w:rPr>
          <w:rFonts w:hint="eastAsia" w:ascii="宋体" w:hAnsi="宋体" w:eastAsia="宋体" w:cs="宋体"/>
          <w:sz w:val="24"/>
          <w:szCs w:val="24"/>
          <w:lang w:eastAsia="zh-CN"/>
        </w:rPr>
        <w:t>）</w:t>
      </w:r>
      <w:r>
        <w:rPr>
          <w:rFonts w:hint="eastAsia" w:ascii="宋体" w:hAnsi="宋体" w:eastAsia="宋体" w:cs="宋体"/>
          <w:sz w:val="24"/>
          <w:szCs w:val="24"/>
        </w:rPr>
        <w:t>因其操作简便易行</w:t>
      </w:r>
      <w:r>
        <w:rPr>
          <w:rFonts w:hint="eastAsia" w:ascii="宋体" w:hAnsi="宋体" w:eastAsia="宋体" w:cs="宋体"/>
          <w:sz w:val="24"/>
          <w:szCs w:val="24"/>
          <w:lang w:eastAsia="zh-CN"/>
        </w:rPr>
        <w:t>、定性定量一次完成、</w:t>
      </w:r>
      <w:r>
        <w:rPr>
          <w:rFonts w:hint="eastAsia" w:ascii="宋体" w:hAnsi="宋体" w:eastAsia="宋体" w:cs="宋体"/>
          <w:sz w:val="24"/>
          <w:szCs w:val="24"/>
        </w:rPr>
        <w:t>适合现场</w:t>
      </w:r>
      <w:r>
        <w:rPr>
          <w:rFonts w:hint="eastAsia" w:ascii="宋体" w:hAnsi="宋体" w:eastAsia="宋体" w:cs="宋体"/>
          <w:sz w:val="24"/>
          <w:szCs w:val="24"/>
          <w:lang w:eastAsia="zh-CN"/>
        </w:rPr>
        <w:t>大规模查病等优点，</w:t>
      </w:r>
      <w:r>
        <w:rPr>
          <w:rFonts w:hint="eastAsia" w:ascii="宋体" w:hAnsi="宋体" w:eastAsia="宋体" w:cs="宋体"/>
          <w:sz w:val="24"/>
          <w:szCs w:val="24"/>
        </w:rPr>
        <w:t>成为WHO推荐的</w:t>
      </w:r>
      <w:r>
        <w:rPr>
          <w:rFonts w:hint="eastAsia" w:ascii="宋体" w:hAnsi="宋体" w:eastAsia="宋体" w:cs="宋体"/>
          <w:sz w:val="24"/>
          <w:szCs w:val="24"/>
          <w:lang w:eastAsia="zh-CN"/>
        </w:rPr>
        <w:t>肠道</w:t>
      </w:r>
      <w:r>
        <w:rPr>
          <w:rFonts w:hint="eastAsia" w:ascii="宋体" w:hAnsi="宋体" w:eastAsia="宋体" w:cs="宋体"/>
          <w:sz w:val="24"/>
          <w:szCs w:val="24"/>
        </w:rPr>
        <w:t>蠕虫病病原学诊断的首选方法</w:t>
      </w:r>
      <w:r>
        <w:rPr>
          <w:rFonts w:hint="eastAsia" w:ascii="宋体" w:hAnsi="宋体" w:eastAsia="宋体" w:cs="宋体"/>
          <w:sz w:val="24"/>
          <w:szCs w:val="24"/>
          <w:lang w:eastAsia="zh-CN"/>
        </w:rPr>
        <w:t>，</w:t>
      </w:r>
      <w:r>
        <w:rPr>
          <w:rFonts w:hint="eastAsia" w:ascii="宋体" w:hAnsi="宋体" w:eastAsia="宋体" w:cs="宋体"/>
          <w:sz w:val="24"/>
          <w:szCs w:val="24"/>
        </w:rPr>
        <w:t>也是</w:t>
      </w:r>
      <w:r>
        <w:rPr>
          <w:rFonts w:hint="eastAsia" w:ascii="宋体" w:hAnsi="宋体" w:eastAsia="宋体" w:cs="宋体"/>
          <w:sz w:val="24"/>
          <w:szCs w:val="24"/>
          <w:lang w:eastAsia="zh-CN"/>
        </w:rPr>
        <w:t>目前国际上使用广泛的一种粪便虫卵检查法</w:t>
      </w:r>
      <w:r>
        <w:rPr>
          <w:rFonts w:hint="eastAsia" w:ascii="宋体" w:hAnsi="宋体" w:eastAsia="宋体" w:cs="宋体"/>
          <w:sz w:val="24"/>
          <w:szCs w:val="24"/>
        </w:rPr>
        <w:t>。我国</w:t>
      </w:r>
      <w:r>
        <w:rPr>
          <w:rFonts w:hint="eastAsia" w:ascii="宋体" w:hAnsi="宋体" w:eastAsia="宋体" w:cs="宋体"/>
          <w:sz w:val="24"/>
          <w:szCs w:val="24"/>
          <w:lang w:eastAsia="zh-CN"/>
        </w:rPr>
        <w:t>开展的两次全国人体重要</w:t>
      </w:r>
      <w:r>
        <w:rPr>
          <w:rFonts w:hint="eastAsia" w:ascii="宋体" w:hAnsi="宋体" w:eastAsia="宋体" w:cs="宋体"/>
          <w:sz w:val="24"/>
          <w:szCs w:val="24"/>
        </w:rPr>
        <w:t>寄生虫</w:t>
      </w:r>
      <w:r>
        <w:rPr>
          <w:rFonts w:hint="eastAsia" w:ascii="宋体" w:hAnsi="宋体" w:eastAsia="宋体" w:cs="宋体"/>
          <w:sz w:val="24"/>
          <w:szCs w:val="24"/>
          <w:lang w:eastAsia="zh-CN"/>
        </w:rPr>
        <w:t>病现状调查，即采用此方法对粪便中的寄生虫卵进行定性定量分析</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1</w:t>
      </w:r>
      <w:r>
        <w:rPr>
          <w:rFonts w:hint="eastAsia" w:ascii="宋体" w:hAnsi="宋体" w:eastAsia="宋体" w:cs="宋体"/>
          <w:sz w:val="24"/>
          <w:szCs w:val="24"/>
          <w:vertAlign w:val="superscript"/>
          <w:lang w:eastAsia="zh-CN"/>
        </w:rPr>
        <w:t>，</w:t>
      </w:r>
      <w:r>
        <w:rPr>
          <w:rFonts w:hint="eastAsia" w:ascii="宋体" w:hAnsi="宋体" w:eastAsia="宋体" w:cs="宋体"/>
          <w:sz w:val="24"/>
          <w:szCs w:val="24"/>
          <w:vertAlign w:val="superscript"/>
          <w:lang w:val="en-US" w:eastAsia="zh-CN"/>
        </w:rPr>
        <w:t>2</w:t>
      </w:r>
      <w:r>
        <w:rPr>
          <w:rFonts w:hint="eastAsia" w:ascii="宋体" w:hAnsi="宋体" w:eastAsia="宋体" w:cs="宋体"/>
          <w:sz w:val="24"/>
          <w:szCs w:val="24"/>
          <w:vertAlign w:val="superscript"/>
        </w:rPr>
        <w:t>]</w:t>
      </w:r>
      <w:r>
        <w:rPr>
          <w:rFonts w:hint="eastAsia" w:ascii="宋体" w:hAnsi="宋体" w:eastAsia="宋体" w:cs="宋体"/>
          <w:sz w:val="24"/>
          <w:szCs w:val="24"/>
          <w:lang w:eastAsia="zh-CN"/>
        </w:rPr>
        <w:t>，近年开展的</w:t>
      </w:r>
      <w:r>
        <w:rPr>
          <w:rFonts w:hint="eastAsia" w:ascii="宋体" w:hAnsi="宋体" w:eastAsia="宋体" w:cs="宋体"/>
          <w:sz w:val="24"/>
          <w:szCs w:val="24"/>
        </w:rPr>
        <w:t>土源性线虫病监测</w:t>
      </w:r>
      <w:r>
        <w:rPr>
          <w:rFonts w:hint="eastAsia" w:ascii="宋体" w:hAnsi="宋体" w:eastAsia="宋体" w:cs="宋体"/>
          <w:sz w:val="24"/>
          <w:szCs w:val="24"/>
          <w:lang w:eastAsia="zh-CN"/>
        </w:rPr>
        <w:t>工作也</w:t>
      </w:r>
      <w:r>
        <w:rPr>
          <w:rFonts w:hint="eastAsia" w:ascii="宋体" w:hAnsi="宋体" w:eastAsia="宋体" w:cs="宋体"/>
          <w:sz w:val="24"/>
          <w:szCs w:val="24"/>
        </w:rPr>
        <w:t>使用该法。该方法具有采用</w:t>
      </w:r>
      <w:r>
        <w:rPr>
          <w:rFonts w:hint="eastAsia" w:ascii="宋体" w:hAnsi="宋体" w:eastAsia="宋体" w:cs="宋体"/>
          <w:sz w:val="24"/>
          <w:szCs w:val="24"/>
          <w:lang w:eastAsia="zh-CN"/>
        </w:rPr>
        <w:t>定量</w:t>
      </w:r>
      <w:r>
        <w:rPr>
          <w:rFonts w:hint="eastAsia" w:ascii="宋体" w:hAnsi="宋体" w:eastAsia="宋体" w:cs="宋体"/>
          <w:sz w:val="24"/>
          <w:szCs w:val="24"/>
        </w:rPr>
        <w:t>板进行定量分析的特点，既能作粪便虫卵定性分析，又能作粪便虫卵定量分析</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3</w:t>
      </w:r>
      <w:r>
        <w:rPr>
          <w:rFonts w:hint="eastAsia" w:ascii="宋体" w:hAnsi="宋体" w:eastAsia="宋体" w:cs="宋体"/>
          <w:sz w:val="24"/>
          <w:szCs w:val="24"/>
          <w:vertAlign w:val="superscript"/>
        </w:rPr>
        <w:t>]</w:t>
      </w:r>
      <w:r>
        <w:rPr>
          <w:rFonts w:hint="eastAsia" w:ascii="宋体" w:hAnsi="宋体" w:eastAsia="宋体" w:cs="宋体"/>
          <w:sz w:val="24"/>
          <w:szCs w:val="24"/>
        </w:rPr>
        <w:t>。然而，</w:t>
      </w:r>
      <w:r>
        <w:rPr>
          <w:rFonts w:hint="eastAsia" w:ascii="宋体" w:hAnsi="宋体" w:eastAsia="宋体" w:cs="宋体"/>
          <w:sz w:val="24"/>
          <w:szCs w:val="24"/>
          <w:lang w:eastAsia="zh-CN"/>
        </w:rPr>
        <w:t>改良加藤厚涂片</w:t>
      </w:r>
      <w:r>
        <w:rPr>
          <w:rFonts w:hint="eastAsia" w:ascii="宋体" w:hAnsi="宋体" w:eastAsia="宋体" w:cs="宋体"/>
          <w:sz w:val="24"/>
          <w:szCs w:val="24"/>
        </w:rPr>
        <w:t>法1次检查</w:t>
      </w:r>
      <w:r>
        <w:rPr>
          <w:rFonts w:hint="eastAsia" w:ascii="宋体" w:hAnsi="宋体" w:eastAsia="宋体" w:cs="宋体"/>
          <w:sz w:val="24"/>
          <w:szCs w:val="24"/>
          <w:lang w:eastAsia="zh-CN"/>
        </w:rPr>
        <w:t>采取</w:t>
      </w:r>
      <w:r>
        <w:rPr>
          <w:rFonts w:hint="eastAsia" w:ascii="宋体" w:hAnsi="宋体" w:eastAsia="宋体" w:cs="宋体"/>
          <w:sz w:val="24"/>
          <w:szCs w:val="24"/>
        </w:rPr>
        <w:t>粪量少，仅为41.7mg，易造成漏检，特别在低、中度流行区应用时，直接影响该法的敏感性</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4</w:t>
      </w:r>
      <w:r>
        <w:rPr>
          <w:rFonts w:hint="eastAsia" w:ascii="宋体" w:hAnsi="宋体" w:eastAsia="宋体" w:cs="宋体"/>
          <w:sz w:val="24"/>
          <w:szCs w:val="24"/>
          <w:vertAlign w:val="superscript"/>
          <w:lang w:eastAsia="zh-CN"/>
        </w:rPr>
        <w:t>，</w:t>
      </w:r>
      <w:r>
        <w:rPr>
          <w:rFonts w:hint="eastAsia" w:ascii="宋体" w:hAnsi="宋体" w:eastAsia="宋体" w:cs="宋体"/>
          <w:sz w:val="24"/>
          <w:szCs w:val="24"/>
          <w:vertAlign w:val="superscript"/>
          <w:lang w:val="en-US" w:eastAsia="zh-CN"/>
        </w:rPr>
        <w:t>5</w:t>
      </w:r>
      <w:r>
        <w:rPr>
          <w:rFonts w:hint="eastAsia" w:ascii="宋体" w:hAnsi="宋体" w:eastAsia="宋体" w:cs="宋体"/>
          <w:sz w:val="24"/>
          <w:szCs w:val="24"/>
          <w:vertAlign w:val="superscript"/>
        </w:rPr>
        <w:t>]</w:t>
      </w:r>
      <w:r>
        <w:rPr>
          <w:rFonts w:hint="eastAsia" w:ascii="宋体" w:hAnsi="宋体" w:eastAsia="宋体" w:cs="宋体"/>
          <w:sz w:val="24"/>
          <w:szCs w:val="24"/>
        </w:rPr>
        <w:t>。</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本研究拟以安徽省土源性线虫病</w:t>
      </w:r>
      <w:r>
        <w:rPr>
          <w:rFonts w:hint="eastAsia" w:ascii="宋体" w:hAnsi="宋体" w:eastAsia="宋体" w:cs="宋体"/>
          <w:sz w:val="24"/>
          <w:szCs w:val="24"/>
          <w:lang w:eastAsia="zh-CN"/>
        </w:rPr>
        <w:t>监测点的</w:t>
      </w:r>
      <w:r>
        <w:rPr>
          <w:rFonts w:hint="eastAsia" w:ascii="宋体" w:hAnsi="宋体" w:eastAsia="宋体" w:cs="宋体"/>
          <w:sz w:val="24"/>
          <w:szCs w:val="24"/>
          <w:lang w:val="en-US" w:eastAsia="zh-CN"/>
        </w:rPr>
        <w:t>5年</w:t>
      </w:r>
      <w:r>
        <w:rPr>
          <w:rFonts w:hint="eastAsia" w:ascii="宋体" w:hAnsi="宋体" w:eastAsia="宋体" w:cs="宋体"/>
          <w:sz w:val="24"/>
          <w:szCs w:val="24"/>
        </w:rPr>
        <w:t>监测数据为基础，分析在土源性线虫病监测调查中</w:t>
      </w:r>
      <w:r>
        <w:rPr>
          <w:rFonts w:hint="eastAsia" w:ascii="宋体" w:hAnsi="宋体" w:eastAsia="宋体" w:cs="宋体"/>
          <w:sz w:val="24"/>
          <w:szCs w:val="24"/>
          <w:lang w:eastAsia="zh-CN"/>
        </w:rPr>
        <w:t>改良加藤厚涂片</w:t>
      </w:r>
      <w:r>
        <w:rPr>
          <w:rFonts w:hint="eastAsia" w:ascii="宋体" w:hAnsi="宋体" w:eastAsia="宋体" w:cs="宋体"/>
          <w:sz w:val="24"/>
          <w:szCs w:val="24"/>
        </w:rPr>
        <w:t>法1送3检的单次涂片检出率规律，并对单次涂片检出率与粪便中虫卵密度的相互关系进行探索。</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对象和方法</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一、资料来源</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安徽省自2006年起将亳州市蒙城县作为土源性线虫病国家级监测点。本研究以该监测点2006~2010年共计5年的调查资料为基础，对5年间采用</w:t>
      </w:r>
      <w:r>
        <w:rPr>
          <w:rFonts w:hint="eastAsia" w:ascii="宋体" w:hAnsi="宋体" w:eastAsia="宋体" w:cs="宋体"/>
          <w:sz w:val="24"/>
          <w:szCs w:val="24"/>
          <w:lang w:eastAsia="zh-CN"/>
        </w:rPr>
        <w:t>改良加藤厚涂片</w:t>
      </w:r>
      <w:r>
        <w:rPr>
          <w:rFonts w:hint="eastAsia" w:ascii="宋体" w:hAnsi="宋体" w:eastAsia="宋体" w:cs="宋体"/>
          <w:sz w:val="24"/>
          <w:szCs w:val="24"/>
        </w:rPr>
        <w:t>法1送3检所检出的全部共计374份阳性样本资料进行分析。</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二、研究方法</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将</w:t>
      </w:r>
      <w:r>
        <w:rPr>
          <w:rFonts w:hint="eastAsia" w:ascii="宋体" w:hAnsi="宋体" w:eastAsia="宋体" w:cs="宋体"/>
          <w:sz w:val="24"/>
          <w:szCs w:val="24"/>
          <w:lang w:eastAsia="zh-CN"/>
        </w:rPr>
        <w:t>改良加藤厚涂片</w:t>
      </w:r>
      <w:r>
        <w:rPr>
          <w:rFonts w:hint="eastAsia" w:ascii="宋体" w:hAnsi="宋体" w:eastAsia="宋体" w:cs="宋体"/>
          <w:sz w:val="24"/>
          <w:szCs w:val="24"/>
        </w:rPr>
        <w:t>法1送3检的3张</w:t>
      </w:r>
      <w:r>
        <w:rPr>
          <w:rFonts w:hint="eastAsia" w:ascii="宋体" w:hAnsi="宋体" w:eastAsia="宋体" w:cs="宋体"/>
          <w:sz w:val="24"/>
          <w:szCs w:val="24"/>
          <w:lang w:eastAsia="zh-CN"/>
        </w:rPr>
        <w:t>涂</w:t>
      </w:r>
      <w:r>
        <w:rPr>
          <w:rFonts w:hint="eastAsia" w:ascii="宋体" w:hAnsi="宋体" w:eastAsia="宋体" w:cs="宋体"/>
          <w:sz w:val="24"/>
          <w:szCs w:val="24"/>
        </w:rPr>
        <w:t>片，按照样本登记时的原始顺序分别编号为1、2、3。对虫卵在3张</w:t>
      </w:r>
      <w:r>
        <w:rPr>
          <w:rFonts w:hint="eastAsia" w:ascii="宋体" w:hAnsi="宋体" w:eastAsia="宋体" w:cs="宋体"/>
          <w:sz w:val="24"/>
          <w:szCs w:val="24"/>
          <w:lang w:eastAsia="zh-CN"/>
        </w:rPr>
        <w:t>涂片</w:t>
      </w:r>
      <w:r>
        <w:rPr>
          <w:rFonts w:hint="eastAsia" w:ascii="宋体" w:hAnsi="宋体" w:eastAsia="宋体" w:cs="宋体"/>
          <w:sz w:val="24"/>
          <w:szCs w:val="24"/>
        </w:rPr>
        <w:t>中的各自出现概率进行分析和对比，对其中的差异做统计学检验</w:t>
      </w:r>
      <w:r>
        <w:rPr>
          <w:rFonts w:hint="eastAsia" w:ascii="宋体" w:hAnsi="宋体" w:eastAsia="宋体" w:cs="宋体"/>
          <w:sz w:val="24"/>
          <w:szCs w:val="24"/>
          <w:lang w:eastAsia="zh-CN"/>
        </w:rPr>
        <w:t>，</w:t>
      </w:r>
      <w:r>
        <w:rPr>
          <w:rFonts w:hint="eastAsia" w:ascii="宋体" w:hAnsi="宋体" w:eastAsia="宋体" w:cs="宋体"/>
          <w:sz w:val="24"/>
          <w:szCs w:val="24"/>
        </w:rPr>
        <w:t>对虫卵在单次涂片中的出现概率与粪便中虫卵密度之间的关系进行回归分析。</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三、粪便虫卵密度的计算</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现场工作中多以克粪虫卵数（eggs per gram，EPG）来表示感染度。而EPG是以每张涂片检出虫卵数乘以一定系数进行计算，这就导致计算出的EPG必为系数的一定倍数，这种计算结果不仅不利于统计分析，而且由于感染度仅分为轻、中、重3个等级，在分析中会丢失大量有用信息。本研究拟直接以片均虫卵数（eggs per slide，EPS）代替EPG作为描述粪便虫卵密度的计算单位。</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EPS=每份样本3张涂片虫卵总和÷3。</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四、统计学分析</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采用Epidata 3.1软件录入数据，采用Excel2007和SPSS18.0软件对数据进行汇总和分析。采用χ</w:t>
      </w:r>
      <w:r>
        <w:rPr>
          <w:rFonts w:hint="eastAsia" w:ascii="宋体" w:hAnsi="宋体" w:eastAsia="宋体" w:cs="宋体"/>
          <w:sz w:val="24"/>
          <w:szCs w:val="24"/>
          <w:vertAlign w:val="superscript"/>
        </w:rPr>
        <w:t>2</w:t>
      </w:r>
      <w:r>
        <w:rPr>
          <w:rFonts w:hint="eastAsia" w:ascii="宋体" w:hAnsi="宋体" w:eastAsia="宋体" w:cs="宋体"/>
          <w:sz w:val="24"/>
          <w:szCs w:val="24"/>
        </w:rPr>
        <w:t>检验方法对相关率的比较进行统计学检验。</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结    果</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一、基本情况</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安徽省2006~2010年，在</w:t>
      </w:r>
      <w:r>
        <w:rPr>
          <w:rFonts w:hint="eastAsia" w:ascii="宋体" w:hAnsi="宋体" w:eastAsia="宋体" w:cs="宋体"/>
          <w:sz w:val="24"/>
          <w:szCs w:val="24"/>
          <w:lang w:eastAsia="zh-CN"/>
        </w:rPr>
        <w:t>蒙城县</w:t>
      </w:r>
      <w:r>
        <w:rPr>
          <w:rFonts w:hint="eastAsia" w:ascii="宋体" w:hAnsi="宋体" w:eastAsia="宋体" w:cs="宋体"/>
          <w:sz w:val="24"/>
          <w:szCs w:val="24"/>
        </w:rPr>
        <w:t xml:space="preserve">国家级监测点共累计调查5119人次，检出阳性样本374份。其中10例蛔虫感染，15例鞭虫感染，352例钩虫感染，另有1例蛔虫与钩虫混合感染和2例鞭虫与钩虫混合感染。将混合感染样本按感染虫种不同分别计算感染人次，5年调查共计发现377人次感染。 </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二、检出情况</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将377人次的样本按照原始登记编号顺序，分别统计3张涂片的检出情况，结果见表1。</w:t>
      </w:r>
    </w:p>
    <w:p>
      <w:pPr>
        <w:widowControl w:val="0"/>
        <w:wordWrap/>
        <w:snapToGrid/>
        <w:spacing w:before="0" w:after="0" w:line="240" w:lineRule="auto"/>
        <w:ind w:left="0" w:leftChars="0" w:right="0"/>
        <w:textAlignment w:val="auto"/>
        <w:outlineLvl w:val="9"/>
        <w:rPr>
          <w:rFonts w:hint="eastAsia" w:ascii="宋体" w:hAnsi="宋体" w:eastAsia="宋体" w:cs="宋体"/>
          <w:b/>
          <w:bCs/>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对蛔虫、鞭虫</w:t>
      </w:r>
      <w:r>
        <w:rPr>
          <w:rFonts w:hint="eastAsia" w:ascii="宋体" w:hAnsi="宋体" w:cs="宋体"/>
          <w:sz w:val="24"/>
          <w:szCs w:val="24"/>
          <w:lang w:eastAsia="zh-CN"/>
        </w:rPr>
        <w:t>及</w:t>
      </w:r>
      <w:r>
        <w:rPr>
          <w:rFonts w:hint="eastAsia" w:ascii="宋体" w:hAnsi="宋体" w:eastAsia="宋体" w:cs="宋体"/>
          <w:sz w:val="24"/>
          <w:szCs w:val="24"/>
        </w:rPr>
        <w:t>钩虫卵在3张涂片中的出现率做χ</w:t>
      </w:r>
      <w:r>
        <w:rPr>
          <w:rFonts w:hint="eastAsia" w:ascii="宋体" w:hAnsi="宋体" w:eastAsia="宋体" w:cs="宋体"/>
          <w:sz w:val="24"/>
          <w:szCs w:val="24"/>
          <w:vertAlign w:val="superscript"/>
        </w:rPr>
        <w:t>2</w:t>
      </w:r>
      <w:r>
        <w:rPr>
          <w:rFonts w:hint="eastAsia" w:ascii="宋体" w:hAnsi="宋体" w:eastAsia="宋体" w:cs="宋体"/>
          <w:sz w:val="24"/>
          <w:szCs w:val="24"/>
        </w:rPr>
        <w:t>检验，结果见表2。</w:t>
      </w: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表1  三种土源性线虫</w:t>
      </w:r>
      <w:r>
        <w:rPr>
          <w:rFonts w:hint="eastAsia" w:ascii="宋体" w:hAnsi="宋体" w:eastAsia="宋体" w:cs="宋体"/>
          <w:b/>
          <w:bCs/>
          <w:sz w:val="24"/>
          <w:szCs w:val="24"/>
          <w:lang w:eastAsia="zh-CN"/>
        </w:rPr>
        <w:t>卵</w:t>
      </w:r>
      <w:r>
        <w:rPr>
          <w:rFonts w:hint="eastAsia" w:ascii="宋体" w:hAnsi="宋体" w:eastAsia="宋体" w:cs="宋体"/>
          <w:b/>
          <w:bCs/>
          <w:sz w:val="24"/>
          <w:szCs w:val="24"/>
        </w:rPr>
        <w:t>三次镜检检出情况</w:t>
      </w:r>
    </w:p>
    <w:tbl>
      <w:tblPr>
        <w:tblW w:w="7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059"/>
        <w:gridCol w:w="1637"/>
        <w:gridCol w:w="1637"/>
        <w:gridCol w:w="1637"/>
        <w:gridCol w:w="1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52" w:hRule="atLeast"/>
          <w:jc w:val="center"/>
        </w:trPr>
        <w:tc>
          <w:tcPr>
            <w:tcW w:w="1059" w:type="dxa"/>
            <w:vMerge w:val="restart"/>
            <w:tcBorders>
              <w:top w:val="single" w:color="000000" w:sz="8" w:space="0"/>
              <w:left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虫种</w:t>
            </w:r>
          </w:p>
        </w:tc>
        <w:tc>
          <w:tcPr>
            <w:tcW w:w="1637" w:type="dxa"/>
            <w:vMerge w:val="restart"/>
            <w:tcBorders>
              <w:top w:val="single" w:color="000000" w:sz="8" w:space="0"/>
              <w:left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总样本数</w:t>
            </w:r>
          </w:p>
        </w:tc>
        <w:tc>
          <w:tcPr>
            <w:tcW w:w="4913" w:type="dxa"/>
            <w:gridSpan w:val="3"/>
            <w:tcBorders>
              <w:top w:val="single" w:color="000000" w:sz="8" w:space="0"/>
              <w:left w:val="nil"/>
              <w:bottom w:val="single" w:color="auto" w:sz="4"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各涂片样本数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227" w:hRule="atLeast"/>
          <w:jc w:val="center"/>
        </w:trPr>
        <w:tc>
          <w:tcPr>
            <w:tcW w:w="1059" w:type="dxa"/>
            <w:vMerge w:val="continue"/>
            <w:tcBorders>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p>
        </w:tc>
        <w:tc>
          <w:tcPr>
            <w:tcW w:w="1637" w:type="dxa"/>
            <w:vMerge w:val="continue"/>
            <w:tcBorders>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p>
        </w:tc>
        <w:tc>
          <w:tcPr>
            <w:tcW w:w="1637" w:type="dxa"/>
            <w:tcBorders>
              <w:top w:val="single" w:color="auto" w:sz="4" w:space="0"/>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1号涂片</w:t>
            </w:r>
          </w:p>
        </w:tc>
        <w:tc>
          <w:tcPr>
            <w:tcW w:w="1637" w:type="dxa"/>
            <w:tcBorders>
              <w:top w:val="single" w:color="auto" w:sz="4" w:space="0"/>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2号涂片</w:t>
            </w:r>
          </w:p>
        </w:tc>
        <w:tc>
          <w:tcPr>
            <w:tcW w:w="1639" w:type="dxa"/>
            <w:tcBorders>
              <w:top w:val="single" w:color="auto" w:sz="4" w:space="0"/>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3号涂片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79" w:hRule="atLeast"/>
          <w:jc w:val="center"/>
        </w:trPr>
        <w:tc>
          <w:tcPr>
            <w:tcW w:w="1059"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蛔虫</w:t>
            </w:r>
          </w:p>
        </w:tc>
        <w:tc>
          <w:tcPr>
            <w:tcW w:w="1637"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1637"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1637"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1639"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79" w:hRule="atLeast"/>
          <w:jc w:val="center"/>
        </w:trPr>
        <w:tc>
          <w:tcPr>
            <w:tcW w:w="105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鞭虫</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15</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163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97" w:hRule="atLeast"/>
          <w:jc w:val="center"/>
        </w:trPr>
        <w:tc>
          <w:tcPr>
            <w:tcW w:w="105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钩虫</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352</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267</w:t>
            </w:r>
          </w:p>
        </w:tc>
        <w:tc>
          <w:tcPr>
            <w:tcW w:w="1637"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275</w:t>
            </w:r>
          </w:p>
        </w:tc>
        <w:tc>
          <w:tcPr>
            <w:tcW w:w="163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25" w:hRule="atLeast"/>
          <w:jc w:val="center"/>
        </w:trPr>
        <w:tc>
          <w:tcPr>
            <w:tcW w:w="1059"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合计</w:t>
            </w:r>
          </w:p>
        </w:tc>
        <w:tc>
          <w:tcPr>
            <w:tcW w:w="1637"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377</w:t>
            </w:r>
          </w:p>
        </w:tc>
        <w:tc>
          <w:tcPr>
            <w:tcW w:w="1637"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284</w:t>
            </w:r>
          </w:p>
        </w:tc>
        <w:tc>
          <w:tcPr>
            <w:tcW w:w="1637"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293</w:t>
            </w:r>
          </w:p>
        </w:tc>
        <w:tc>
          <w:tcPr>
            <w:tcW w:w="1639"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288</w:t>
            </w:r>
          </w:p>
        </w:tc>
      </w:tr>
    </w:tbl>
    <w:p>
      <w:pPr>
        <w:widowControl w:val="0"/>
        <w:wordWrap/>
        <w:snapToGrid/>
        <w:spacing w:before="0" w:after="0" w:line="240" w:lineRule="auto"/>
        <w:ind w:left="0" w:leftChars="0" w:right="0"/>
        <w:textAlignment w:val="auto"/>
        <w:outlineLvl w:val="9"/>
        <w:rPr>
          <w:rFonts w:hint="eastAsia"/>
          <w:sz w:val="24"/>
          <w:szCs w:val="24"/>
        </w:rPr>
      </w:pPr>
      <w:r>
        <w:rPr>
          <w:rFonts w:hint="eastAsia"/>
          <w:sz w:val="24"/>
          <w:szCs w:val="24"/>
          <w:lang w:val="en-US" w:eastAsia="zh-CN"/>
        </w:rPr>
        <w:t xml:space="preserve">    </w:t>
      </w: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表2  三张涂片的虫卵出现率对比</w:t>
      </w:r>
    </w:p>
    <w:tbl>
      <w:tblPr>
        <w:tblW w:w="77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27"/>
        <w:gridCol w:w="1150"/>
        <w:gridCol w:w="1150"/>
        <w:gridCol w:w="1150"/>
        <w:gridCol w:w="1150"/>
        <w:gridCol w:w="1150"/>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5" w:hRule="atLeast"/>
          <w:jc w:val="center"/>
        </w:trPr>
        <w:tc>
          <w:tcPr>
            <w:tcW w:w="827" w:type="dxa"/>
            <w:vMerge w:val="restart"/>
            <w:tcBorders>
              <w:top w:val="single" w:color="000000" w:sz="8" w:space="0"/>
              <w:lef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虫种</w:t>
            </w:r>
          </w:p>
        </w:tc>
        <w:tc>
          <w:tcPr>
            <w:tcW w:w="3450" w:type="dxa"/>
            <w:gridSpan w:val="3"/>
            <w:tcBorders>
              <w:top w:val="single" w:color="000000" w:sz="8" w:space="0"/>
              <w:bottom w:val="single" w:color="auto" w:sz="4"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各涂片虫卵出现率（%）</w:t>
            </w:r>
          </w:p>
        </w:tc>
        <w:tc>
          <w:tcPr>
            <w:tcW w:w="1150" w:type="dxa"/>
            <w:vMerge w:val="restart"/>
            <w:tcBorders>
              <w:top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default" w:ascii="Times New Roman" w:hAnsi="Times New Roman" w:cs="Times New Roman"/>
                <w:sz w:val="24"/>
                <w:szCs w:val="24"/>
                <w:lang w:val="el-GR"/>
              </w:rPr>
              <w:t>χ</w:t>
            </w:r>
            <w:r>
              <w:rPr>
                <w:rFonts w:hint="default" w:ascii="Times New Roman" w:hAnsi="Times New Roman" w:cs="Times New Roman"/>
                <w:sz w:val="24"/>
                <w:szCs w:val="24"/>
              </w:rPr>
              <w:t>2</w:t>
            </w:r>
            <w:r>
              <w:rPr>
                <w:rFonts w:hint="eastAsia"/>
                <w:sz w:val="24"/>
                <w:szCs w:val="24"/>
              </w:rPr>
              <w:t>值</w:t>
            </w:r>
          </w:p>
        </w:tc>
        <w:tc>
          <w:tcPr>
            <w:tcW w:w="1150" w:type="dxa"/>
            <w:vMerge w:val="restart"/>
            <w:tcBorders>
              <w:top w:val="single" w:color="000000" w:sz="8" w:space="0"/>
              <w:lef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default" w:ascii="Times New Roman" w:hAnsi="Times New Roman" w:cs="Times New Roman"/>
                <w:sz w:val="24"/>
                <w:szCs w:val="24"/>
              </w:rPr>
              <w:t>p</w:t>
            </w:r>
            <w:r>
              <w:rPr>
                <w:rFonts w:hint="eastAsia"/>
                <w:sz w:val="24"/>
                <w:szCs w:val="24"/>
              </w:rPr>
              <w:t>值</w:t>
            </w:r>
          </w:p>
        </w:tc>
        <w:tc>
          <w:tcPr>
            <w:tcW w:w="1150" w:type="dxa"/>
            <w:vMerge w:val="restart"/>
            <w:tcBorders>
              <w:top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ascii="宋体" w:hAnsi="宋体" w:eastAsia="宋体" w:cs="宋体"/>
                <w:sz w:val="24"/>
                <w:szCs w:val="24"/>
              </w:rPr>
              <w:t>平均出现率（%）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68" w:hRule="atLeast"/>
          <w:jc w:val="center"/>
        </w:trPr>
        <w:tc>
          <w:tcPr>
            <w:tcW w:w="827" w:type="dxa"/>
            <w:vMerge w:val="continue"/>
            <w:tcBorders>
              <w:left w:val="nil"/>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c>
          <w:tcPr>
            <w:tcW w:w="1150" w:type="dxa"/>
            <w:tcBorders>
              <w:top w:val="single" w:color="auto" w:sz="4" w:space="0"/>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1号</w:t>
            </w:r>
          </w:p>
        </w:tc>
        <w:tc>
          <w:tcPr>
            <w:tcW w:w="1150" w:type="dxa"/>
            <w:tcBorders>
              <w:top w:val="single" w:color="auto" w:sz="4" w:space="0"/>
              <w:bottom w:val="single" w:color="000000" w:sz="8" w:space="0"/>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2号</w:t>
            </w:r>
          </w:p>
        </w:tc>
        <w:tc>
          <w:tcPr>
            <w:tcW w:w="1150" w:type="dxa"/>
            <w:tcBorders>
              <w:top w:val="single" w:color="auto" w:sz="4" w:space="0"/>
              <w:bottom w:val="single" w:color="000000" w:sz="8" w:space="0"/>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3号</w:t>
            </w:r>
          </w:p>
        </w:tc>
        <w:tc>
          <w:tcPr>
            <w:tcW w:w="1150" w:type="dxa"/>
            <w:vMerge w:val="continue"/>
            <w:tcBorders>
              <w:bottom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sz w:val="24"/>
                <w:szCs w:val="24"/>
                <w:lang w:val="el-GR"/>
              </w:rPr>
            </w:pPr>
          </w:p>
        </w:tc>
        <w:tc>
          <w:tcPr>
            <w:tcW w:w="1150" w:type="dxa"/>
            <w:vMerge w:val="continue"/>
            <w:tcBorders>
              <w:left w:val="nil"/>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c>
          <w:tcPr>
            <w:tcW w:w="1150" w:type="dxa"/>
            <w:vMerge w:val="continue"/>
            <w:tcBorders>
              <w:bottom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95" w:hRule="atLeast"/>
          <w:jc w:val="center"/>
        </w:trPr>
        <w:tc>
          <w:tcPr>
            <w:tcW w:w="827" w:type="dxa"/>
            <w:tcBorders>
              <w:top w:val="single" w:color="000000" w:sz="8" w:space="0"/>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蛔虫</w:t>
            </w:r>
          </w:p>
        </w:tc>
        <w:tc>
          <w:tcPr>
            <w:tcW w:w="1150" w:type="dxa"/>
            <w:tcBorders>
              <w:top w:val="single" w:color="000000" w:sz="8" w:space="0"/>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80.0</w:t>
            </w:r>
          </w:p>
        </w:tc>
        <w:tc>
          <w:tcPr>
            <w:tcW w:w="1150" w:type="dxa"/>
            <w:tcBorders>
              <w:top w:val="single" w:color="000000" w:sz="8" w:space="0"/>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100.0</w:t>
            </w:r>
          </w:p>
        </w:tc>
        <w:tc>
          <w:tcPr>
            <w:tcW w:w="1150" w:type="dxa"/>
            <w:tcBorders>
              <w:top w:val="single" w:color="000000" w:sz="8" w:space="0"/>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80.0</w:t>
            </w:r>
          </w:p>
        </w:tc>
        <w:tc>
          <w:tcPr>
            <w:tcW w:w="1150" w:type="dxa"/>
            <w:tcBorders>
              <w:top w:val="single" w:color="000000" w:sz="8" w:space="0"/>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3.54</w:t>
            </w:r>
          </w:p>
        </w:tc>
        <w:tc>
          <w:tcPr>
            <w:tcW w:w="1150" w:type="dxa"/>
            <w:tcBorders>
              <w:top w:val="single" w:color="000000" w:sz="8" w:space="0"/>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0.17</w:t>
            </w:r>
          </w:p>
        </w:tc>
        <w:tc>
          <w:tcPr>
            <w:tcW w:w="1150" w:type="dxa"/>
            <w:tcBorders>
              <w:top w:val="single" w:color="000000" w:sz="8" w:space="0"/>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95" w:hRule="atLeast"/>
          <w:jc w:val="center"/>
        </w:trPr>
        <w:tc>
          <w:tcPr>
            <w:tcW w:w="827" w:type="dxa"/>
            <w:tcBorders>
              <w:top w:val="nil"/>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鞭虫</w:t>
            </w:r>
          </w:p>
        </w:tc>
        <w:tc>
          <w:tcPr>
            <w:tcW w:w="1150" w:type="dxa"/>
            <w:tcBorders>
              <w:top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60.0</w:t>
            </w:r>
          </w:p>
        </w:tc>
        <w:tc>
          <w:tcPr>
            <w:tcW w:w="1150" w:type="dxa"/>
            <w:tcBorders>
              <w:top w:val="nil"/>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53.3</w:t>
            </w:r>
          </w:p>
        </w:tc>
        <w:tc>
          <w:tcPr>
            <w:tcW w:w="1150" w:type="dxa"/>
            <w:tcBorders>
              <w:top w:val="nil"/>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60.0</w:t>
            </w:r>
          </w:p>
        </w:tc>
        <w:tc>
          <w:tcPr>
            <w:tcW w:w="1150" w:type="dxa"/>
            <w:tcBorders>
              <w:top w:val="nil"/>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0.18</w:t>
            </w:r>
          </w:p>
        </w:tc>
        <w:tc>
          <w:tcPr>
            <w:tcW w:w="1150" w:type="dxa"/>
            <w:tcBorders>
              <w:top w:val="nil"/>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0.91</w:t>
            </w:r>
          </w:p>
        </w:tc>
        <w:tc>
          <w:tcPr>
            <w:tcW w:w="1150" w:type="dxa"/>
            <w:tcBorders>
              <w:top w:val="nil"/>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95" w:hRule="atLeast"/>
          <w:jc w:val="center"/>
        </w:trPr>
        <w:tc>
          <w:tcPr>
            <w:tcW w:w="827" w:type="dxa"/>
            <w:tcBorders>
              <w:top w:val="nil"/>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钩虫</w:t>
            </w:r>
          </w:p>
        </w:tc>
        <w:tc>
          <w:tcPr>
            <w:tcW w:w="1150" w:type="dxa"/>
            <w:tcBorders>
              <w:top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75.9</w:t>
            </w:r>
          </w:p>
        </w:tc>
        <w:tc>
          <w:tcPr>
            <w:tcW w:w="1150" w:type="dxa"/>
            <w:tcBorders>
              <w:top w:val="nil"/>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78.1</w:t>
            </w:r>
          </w:p>
        </w:tc>
        <w:tc>
          <w:tcPr>
            <w:tcW w:w="1150" w:type="dxa"/>
            <w:tcBorders>
              <w:top w:val="nil"/>
              <w:bottom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76.0</w:t>
            </w:r>
          </w:p>
        </w:tc>
        <w:tc>
          <w:tcPr>
            <w:tcW w:w="1150" w:type="dxa"/>
            <w:tcBorders>
              <w:top w:val="nil"/>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0.39</w:t>
            </w:r>
          </w:p>
        </w:tc>
        <w:tc>
          <w:tcPr>
            <w:tcW w:w="1150" w:type="dxa"/>
            <w:tcBorders>
              <w:top w:val="nil"/>
              <w:left w:val="nil"/>
              <w:bottom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0.82</w:t>
            </w:r>
          </w:p>
        </w:tc>
        <w:tc>
          <w:tcPr>
            <w:tcW w:w="1150" w:type="dxa"/>
            <w:tcBorders>
              <w:top w:val="nil"/>
              <w:bottom w:val="nil"/>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76.99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6" w:hRule="atLeast"/>
          <w:jc w:val="center"/>
        </w:trPr>
        <w:tc>
          <w:tcPr>
            <w:tcW w:w="827" w:type="dxa"/>
            <w:tcBorders>
              <w:top w:val="nil"/>
              <w:left w:val="nil"/>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总体</w:t>
            </w:r>
          </w:p>
        </w:tc>
        <w:tc>
          <w:tcPr>
            <w:tcW w:w="1150" w:type="dxa"/>
            <w:tcBorders>
              <w:top w:val="nil"/>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75.3</w:t>
            </w:r>
          </w:p>
        </w:tc>
        <w:tc>
          <w:tcPr>
            <w:tcW w:w="1150" w:type="dxa"/>
            <w:tcBorders>
              <w:top w:val="nil"/>
              <w:bottom w:val="single" w:color="000000" w:sz="8" w:space="0"/>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77.7</w:t>
            </w:r>
          </w:p>
        </w:tc>
        <w:tc>
          <w:tcPr>
            <w:tcW w:w="1150" w:type="dxa"/>
            <w:tcBorders>
              <w:top w:val="nil"/>
              <w:bottom w:val="single" w:color="000000" w:sz="8" w:space="0"/>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76.4</w:t>
            </w:r>
          </w:p>
        </w:tc>
        <w:tc>
          <w:tcPr>
            <w:tcW w:w="1150" w:type="dxa"/>
            <w:tcBorders>
              <w:top w:val="nil"/>
              <w:bottom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0.48</w:t>
            </w:r>
          </w:p>
        </w:tc>
        <w:tc>
          <w:tcPr>
            <w:tcW w:w="1150" w:type="dxa"/>
            <w:tcBorders>
              <w:top w:val="nil"/>
              <w:left w:val="nil"/>
              <w:bottom w:val="single" w:color="000000" w:sz="8" w:space="0"/>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0.79</w:t>
            </w:r>
          </w:p>
        </w:tc>
        <w:tc>
          <w:tcPr>
            <w:tcW w:w="1150" w:type="dxa"/>
            <w:tcBorders>
              <w:top w:val="nil"/>
              <w:bottom w:val="single" w:color="000000" w:sz="8" w:space="0"/>
              <w:right w:val="nil"/>
            </w:tcBorders>
            <w:vAlign w:val="center"/>
          </w:tcPr>
          <w:p>
            <w:pPr>
              <w:widowControl w:val="0"/>
              <w:wordWrap/>
              <w:snapToGrid/>
              <w:spacing w:before="0" w:after="0" w:line="240" w:lineRule="auto"/>
              <w:ind w:left="0" w:leftChars="0" w:right="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76.48</w:t>
            </w:r>
          </w:p>
        </w:tc>
      </w:tr>
    </w:tbl>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sz w:val="24"/>
          <w:szCs w:val="24"/>
          <w:lang w:val="en-US" w:eastAsia="zh-CN"/>
        </w:rPr>
        <w:t xml:space="preserve">    </w:t>
      </w:r>
      <w:r>
        <w:rPr>
          <w:rFonts w:hint="eastAsia" w:ascii="宋体" w:hAnsi="宋体" w:eastAsia="宋体" w:cs="宋体"/>
          <w:sz w:val="24"/>
          <w:szCs w:val="24"/>
        </w:rPr>
        <w:t>从表1和表2可以看出，在监测工作中</w:t>
      </w:r>
      <w:r>
        <w:rPr>
          <w:rFonts w:hint="eastAsia" w:ascii="宋体" w:hAnsi="宋体" w:eastAsia="宋体" w:cs="宋体"/>
          <w:sz w:val="24"/>
          <w:szCs w:val="24"/>
          <w:lang w:eastAsia="zh-CN"/>
        </w:rPr>
        <w:t>用改良加藤厚涂片法</w:t>
      </w:r>
      <w:r>
        <w:rPr>
          <w:rFonts w:hint="eastAsia" w:ascii="宋体" w:hAnsi="宋体" w:eastAsia="宋体" w:cs="宋体"/>
          <w:sz w:val="24"/>
          <w:szCs w:val="24"/>
        </w:rPr>
        <w:t>1送3检检查粪便中土源性线虫卵时</w:t>
      </w:r>
      <w:r>
        <w:rPr>
          <w:rFonts w:hint="eastAsia" w:ascii="宋体" w:hAnsi="宋体" w:eastAsia="宋体" w:cs="宋体"/>
          <w:sz w:val="24"/>
          <w:szCs w:val="24"/>
          <w:lang w:eastAsia="zh-CN"/>
        </w:rPr>
        <w:t>，</w:t>
      </w:r>
      <w:r>
        <w:rPr>
          <w:rFonts w:hint="eastAsia" w:ascii="宋体" w:hAnsi="宋体" w:eastAsia="宋体" w:cs="宋体"/>
          <w:sz w:val="24"/>
          <w:szCs w:val="24"/>
        </w:rPr>
        <w:t>虽然各涂片中虫卵的出现率有所差异，但经统计学检验，无论是蛔虫、鞭虫、钩虫的单一虫种检验情况还是三种土源性线虫的总体检验情况，3张涂片的虫卵出现率差异均无统计学意义。可以认为这种差异为随机误差所致。</w:t>
      </w:r>
    </w:p>
    <w:p>
      <w:pPr>
        <w:widowControl w:val="0"/>
        <w:wordWrap/>
        <w:snapToGrid/>
        <w:spacing w:before="0" w:after="0" w:line="240" w:lineRule="auto"/>
        <w:ind w:left="0" w:leftChars="0" w:right="0"/>
        <w:textAlignment w:val="auto"/>
        <w:outlineLvl w:val="9"/>
        <w:rPr>
          <w:rFonts w:hint="eastAsia"/>
          <w:sz w:val="24"/>
          <w:szCs w:val="24"/>
        </w:rPr>
      </w:pPr>
      <w:r>
        <w:rPr>
          <w:rFonts w:hint="eastAsia"/>
          <w:sz w:val="24"/>
          <w:szCs w:val="24"/>
          <w:lang w:val="en-US" w:eastAsia="zh-CN"/>
        </w:rPr>
        <w:t xml:space="preserve">    </w:t>
      </w:r>
      <w:r>
        <w:rPr>
          <w:rFonts w:hint="eastAsia"/>
          <w:sz w:val="24"/>
          <w:szCs w:val="24"/>
        </w:rPr>
        <w:t>从表</w:t>
      </w:r>
      <w:r>
        <w:rPr>
          <w:rFonts w:hint="eastAsia"/>
          <w:sz w:val="24"/>
          <w:szCs w:val="24"/>
          <w:lang w:val="en-US" w:eastAsia="zh-CN"/>
        </w:rPr>
        <w:t>2</w:t>
      </w:r>
      <w:r>
        <w:rPr>
          <w:rFonts w:hint="eastAsia"/>
          <w:sz w:val="24"/>
          <w:szCs w:val="24"/>
        </w:rPr>
        <w:t>中还可以看出，土源性线虫卵在单张涂片中总体出现率的平均值为76.48%，因此，在监测工作中若仅对样品进行</w:t>
      </w:r>
      <w:r>
        <w:rPr>
          <w:rFonts w:hint="eastAsia"/>
          <w:sz w:val="24"/>
          <w:szCs w:val="24"/>
          <w:lang w:eastAsia="zh-CN"/>
        </w:rPr>
        <w:t>改良加藤厚涂片</w:t>
      </w:r>
      <w:r>
        <w:rPr>
          <w:rFonts w:hint="eastAsia"/>
          <w:sz w:val="24"/>
          <w:szCs w:val="24"/>
        </w:rPr>
        <w:t>单次涂片检查，则其检出率相对1送3检将降低约1/4。</w:t>
      </w:r>
    </w:p>
    <w:p>
      <w:pPr>
        <w:widowControl w:val="0"/>
        <w:wordWrap/>
        <w:snapToGrid/>
        <w:spacing w:before="0" w:after="0" w:line="240" w:lineRule="auto"/>
        <w:ind w:left="0" w:leftChars="0" w:right="0"/>
        <w:textAlignment w:val="auto"/>
        <w:outlineLvl w:val="9"/>
        <w:rPr>
          <w:rFonts w:hint="eastAsia"/>
          <w:sz w:val="24"/>
          <w:szCs w:val="24"/>
        </w:rPr>
      </w:pPr>
      <w:r>
        <w:rPr>
          <w:rFonts w:hint="eastAsia"/>
          <w:sz w:val="24"/>
          <w:szCs w:val="24"/>
          <w:lang w:val="en-US" w:eastAsia="zh-CN"/>
        </w:rPr>
        <w:t xml:space="preserve">    </w:t>
      </w:r>
      <w:r>
        <w:rPr>
          <w:rFonts w:hint="eastAsia"/>
          <w:sz w:val="24"/>
          <w:szCs w:val="24"/>
        </w:rPr>
        <w:t>三、EPS对涂片虫卵出现率的影响</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sz w:val="24"/>
          <w:szCs w:val="24"/>
          <w:lang w:val="en-US" w:eastAsia="zh-CN"/>
        </w:rPr>
        <w:t xml:space="preserve">    </w:t>
      </w:r>
      <w:r>
        <w:rPr>
          <w:rFonts w:hint="eastAsia"/>
          <w:sz w:val="24"/>
          <w:szCs w:val="24"/>
        </w:rPr>
        <w:t>在</w:t>
      </w:r>
      <w:r>
        <w:rPr>
          <w:rFonts w:hint="eastAsia"/>
          <w:sz w:val="24"/>
          <w:szCs w:val="24"/>
          <w:lang w:eastAsia="zh-CN"/>
        </w:rPr>
        <w:t>改良加藤厚涂片</w:t>
      </w:r>
      <w:r>
        <w:rPr>
          <w:rFonts w:hint="eastAsia"/>
          <w:sz w:val="24"/>
          <w:szCs w:val="24"/>
        </w:rPr>
        <w:t>法</w:t>
      </w:r>
      <w:r>
        <w:rPr>
          <w:rFonts w:hint="eastAsia"/>
          <w:sz w:val="24"/>
          <w:szCs w:val="24"/>
          <w:lang w:eastAsia="zh-CN"/>
        </w:rPr>
        <w:t>检查</w:t>
      </w:r>
      <w:r>
        <w:rPr>
          <w:rFonts w:hint="eastAsia"/>
          <w:sz w:val="24"/>
          <w:szCs w:val="24"/>
        </w:rPr>
        <w:t>虫卵时，感染度越高则单次涂片中出现虫卵的概率越大。对不同EPS水平下单次涂片的平均虫卵出现率进行分析，结果见表3</w:t>
      </w:r>
      <w:r>
        <w:rPr>
          <w:rFonts w:hint="eastAsia"/>
          <w:sz w:val="24"/>
          <w:szCs w:val="24"/>
          <w:lang w:eastAsia="zh-CN"/>
        </w:rPr>
        <w:t>。</w:t>
      </w:r>
    </w:p>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表3  不同EPS的样本数</w:t>
      </w:r>
      <w:r>
        <w:rPr>
          <w:rFonts w:hint="eastAsia" w:ascii="宋体" w:hAnsi="宋体" w:cs="宋体"/>
          <w:b/>
          <w:bCs/>
          <w:sz w:val="24"/>
          <w:szCs w:val="24"/>
          <w:lang w:eastAsia="zh-CN"/>
        </w:rPr>
        <w:t>和</w:t>
      </w:r>
      <w:r>
        <w:rPr>
          <w:rFonts w:hint="eastAsia" w:ascii="宋体" w:hAnsi="宋体" w:eastAsia="宋体" w:cs="宋体"/>
          <w:b/>
          <w:bCs/>
          <w:sz w:val="24"/>
          <w:szCs w:val="24"/>
        </w:rPr>
        <w:t>单张涂片虫卵出现率</w:t>
      </w:r>
    </w:p>
    <w:tbl>
      <w:tblPr>
        <w:tblW w:w="7920" w:type="dxa"/>
        <w:jc w:val="center"/>
        <w:tblInd w:w="-1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00"/>
        <w:gridCol w:w="1559"/>
        <w:gridCol w:w="1464"/>
        <w:gridCol w:w="1465"/>
        <w:gridCol w:w="1465"/>
        <w:gridCol w:w="1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93" w:hRule="atLeast"/>
          <w:jc w:val="center"/>
        </w:trPr>
        <w:tc>
          <w:tcPr>
            <w:tcW w:w="800" w:type="dxa"/>
            <w:vMerge w:val="restart"/>
            <w:tcBorders>
              <w:top w:val="single" w:color="000000" w:sz="8" w:space="0"/>
              <w:left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EPS</w:t>
            </w:r>
          </w:p>
        </w:tc>
        <w:tc>
          <w:tcPr>
            <w:tcW w:w="1559" w:type="dxa"/>
            <w:vMerge w:val="restart"/>
            <w:tcBorders>
              <w:top w:val="single" w:color="000000" w:sz="8" w:space="0"/>
              <w:left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样本数</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（构成比）</w:t>
            </w:r>
          </w:p>
        </w:tc>
        <w:tc>
          <w:tcPr>
            <w:tcW w:w="4394" w:type="dxa"/>
            <w:gridSpan w:val="3"/>
            <w:tcBorders>
              <w:top w:val="single" w:color="000000" w:sz="8" w:space="0"/>
              <w:left w:val="nil"/>
              <w:bottom w:val="single" w:color="auto" w:sz="4"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各涂片虫卵出现率（%）</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（n/N）</w:t>
            </w:r>
          </w:p>
        </w:tc>
        <w:tc>
          <w:tcPr>
            <w:tcW w:w="1167" w:type="dxa"/>
            <w:vMerge w:val="restart"/>
            <w:tcBorders>
              <w:top w:val="single" w:color="000000" w:sz="8" w:space="0"/>
              <w:left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平均出现率</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241" w:hRule="atLeast"/>
          <w:jc w:val="center"/>
        </w:trPr>
        <w:tc>
          <w:tcPr>
            <w:tcW w:w="800" w:type="dxa"/>
            <w:vMerge w:val="continue"/>
            <w:tcBorders>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c>
          <w:tcPr>
            <w:tcW w:w="1559" w:type="dxa"/>
            <w:vMerge w:val="continue"/>
            <w:tcBorders>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c>
          <w:tcPr>
            <w:tcW w:w="1464" w:type="dxa"/>
            <w:tcBorders>
              <w:top w:val="single" w:color="auto" w:sz="4" w:space="0"/>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1号涂片</w:t>
            </w:r>
          </w:p>
        </w:tc>
        <w:tc>
          <w:tcPr>
            <w:tcW w:w="1465" w:type="dxa"/>
            <w:tcBorders>
              <w:top w:val="single" w:color="auto" w:sz="4" w:space="0"/>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2号涂片</w:t>
            </w:r>
          </w:p>
        </w:tc>
        <w:tc>
          <w:tcPr>
            <w:tcW w:w="1465" w:type="dxa"/>
            <w:tcBorders>
              <w:top w:val="single" w:color="auto" w:sz="4" w:space="0"/>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3号涂片</w:t>
            </w:r>
          </w:p>
        </w:tc>
        <w:tc>
          <w:tcPr>
            <w:tcW w:w="1167" w:type="dxa"/>
            <w:vMerge w:val="continue"/>
            <w:tcBorders>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9" w:hRule="atLeast"/>
          <w:jc w:val="center"/>
        </w:trPr>
        <w:tc>
          <w:tcPr>
            <w:tcW w:w="800"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&lt;2</w:t>
            </w:r>
          </w:p>
        </w:tc>
        <w:tc>
          <w:tcPr>
            <w:tcW w:w="1559" w:type="dxa"/>
            <w:tcBorders>
              <w:top w:val="single" w:color="000000" w:sz="8" w:space="0"/>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162（42.97%）</w:t>
            </w:r>
          </w:p>
        </w:tc>
        <w:tc>
          <w:tcPr>
            <w:tcW w:w="1464" w:type="dxa"/>
            <w:tcBorders>
              <w:top w:val="single" w:color="000000" w:sz="8" w:space="0"/>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50.62</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（82/162）</w:t>
            </w:r>
          </w:p>
        </w:tc>
        <w:tc>
          <w:tcPr>
            <w:tcW w:w="1465" w:type="dxa"/>
            <w:tcBorders>
              <w:top w:val="single" w:color="000000" w:sz="8" w:space="0"/>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55.56</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（90/162）</w:t>
            </w:r>
          </w:p>
        </w:tc>
        <w:tc>
          <w:tcPr>
            <w:tcW w:w="1465" w:type="dxa"/>
            <w:tcBorders>
              <w:top w:val="single" w:color="000000" w:sz="8" w:space="0"/>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50.62</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（82/162）</w:t>
            </w:r>
          </w:p>
        </w:tc>
        <w:tc>
          <w:tcPr>
            <w:tcW w:w="1167" w:type="dxa"/>
            <w:tcBorders>
              <w:top w:val="single" w:color="000000" w:sz="8" w:space="0"/>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9" w:hRule="atLeast"/>
          <w:jc w:val="center"/>
        </w:trPr>
        <w:tc>
          <w:tcPr>
            <w:tcW w:w="800"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2~4</w:t>
            </w:r>
          </w:p>
        </w:tc>
        <w:tc>
          <w:tcPr>
            <w:tcW w:w="155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78（20.69%）</w:t>
            </w:r>
          </w:p>
        </w:tc>
        <w:tc>
          <w:tcPr>
            <w:tcW w:w="1464"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87.18</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（68/78）</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87.18</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（68/78）</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92.31</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（72/78）</w:t>
            </w:r>
          </w:p>
        </w:tc>
        <w:tc>
          <w:tcPr>
            <w:tcW w:w="1167"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9" w:hRule="atLeast"/>
          <w:jc w:val="center"/>
        </w:trPr>
        <w:tc>
          <w:tcPr>
            <w:tcW w:w="800"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4~8</w:t>
            </w:r>
          </w:p>
        </w:tc>
        <w:tc>
          <w:tcPr>
            <w:tcW w:w="155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56（14.85%）</w:t>
            </w:r>
          </w:p>
        </w:tc>
        <w:tc>
          <w:tcPr>
            <w:tcW w:w="1464"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96.43</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（54/56）</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96.43</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（54/56）</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96.43</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（54/56）</w:t>
            </w:r>
          </w:p>
        </w:tc>
        <w:tc>
          <w:tcPr>
            <w:tcW w:w="1167"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96.43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9" w:hRule="atLeast"/>
          <w:jc w:val="center"/>
        </w:trPr>
        <w:tc>
          <w:tcPr>
            <w:tcW w:w="800"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8~16</w:t>
            </w:r>
          </w:p>
        </w:tc>
        <w:tc>
          <w:tcPr>
            <w:tcW w:w="1559" w:type="dxa"/>
            <w:tcBorders>
              <w:top w:val="nil"/>
              <w:left w:val="nil"/>
              <w:bottom w:val="nil"/>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36（9.55%）</w:t>
            </w:r>
          </w:p>
        </w:tc>
        <w:tc>
          <w:tcPr>
            <w:tcW w:w="1464"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97.22</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（35/36）</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100</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（36/36）</w:t>
            </w:r>
          </w:p>
        </w:tc>
        <w:tc>
          <w:tcPr>
            <w:tcW w:w="1465"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100</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（36/36）</w:t>
            </w:r>
          </w:p>
        </w:tc>
        <w:tc>
          <w:tcPr>
            <w:tcW w:w="1167" w:type="dxa"/>
            <w:tcBorders>
              <w:top w:val="nil"/>
              <w:left w:val="nil"/>
              <w:bottom w:val="nil"/>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9" w:hRule="atLeast"/>
          <w:jc w:val="center"/>
        </w:trPr>
        <w:tc>
          <w:tcPr>
            <w:tcW w:w="800"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≥16</w:t>
            </w:r>
          </w:p>
        </w:tc>
        <w:tc>
          <w:tcPr>
            <w:tcW w:w="1559" w:type="dxa"/>
            <w:tcBorders>
              <w:top w:val="nil"/>
              <w:left w:val="nil"/>
              <w:bottom w:val="single" w:color="000000" w:sz="8" w:space="0"/>
              <w:right w:val="nil"/>
            </w:tcBorders>
            <w:tcMar>
              <w:top w:w="15" w:type="dxa"/>
              <w:left w:w="108" w:type="dxa"/>
              <w:bottom w:w="0" w:type="dxa"/>
              <w:right w:w="108"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45（11.94%）</w:t>
            </w:r>
          </w:p>
        </w:tc>
        <w:tc>
          <w:tcPr>
            <w:tcW w:w="1464" w:type="dxa"/>
            <w:tcBorders>
              <w:top w:val="nil"/>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100</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（45/45）</w:t>
            </w:r>
          </w:p>
        </w:tc>
        <w:tc>
          <w:tcPr>
            <w:tcW w:w="1465" w:type="dxa"/>
            <w:tcBorders>
              <w:top w:val="nil"/>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97.78</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（44/45）</w:t>
            </w:r>
          </w:p>
        </w:tc>
        <w:tc>
          <w:tcPr>
            <w:tcW w:w="1465" w:type="dxa"/>
            <w:tcBorders>
              <w:top w:val="nil"/>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100</w:t>
            </w:r>
          </w:p>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（45/45）</w:t>
            </w:r>
          </w:p>
        </w:tc>
        <w:tc>
          <w:tcPr>
            <w:tcW w:w="1167" w:type="dxa"/>
            <w:tcBorders>
              <w:top w:val="nil"/>
              <w:left w:val="nil"/>
              <w:bottom w:val="single" w:color="000000" w:sz="8" w:space="0"/>
              <w:right w:val="nil"/>
            </w:tcBorders>
            <w:tcMar>
              <w:top w:w="15" w:type="dxa"/>
              <w:left w:w="15" w:type="dxa"/>
              <w:bottom w:w="0" w:type="dxa"/>
              <w:right w:w="15" w:type="dxa"/>
            </w:tcMar>
            <w:vAlign w:val="center"/>
          </w:tcPr>
          <w:p>
            <w:pPr>
              <w:widowControl w:val="0"/>
              <w:wordWrap/>
              <w:snapToGrid/>
              <w:spacing w:before="0" w:after="0" w:line="240" w:lineRule="auto"/>
              <w:ind w:left="0" w:leftChars="0" w:right="0"/>
              <w:jc w:val="center"/>
              <w:textAlignment w:val="auto"/>
              <w:outlineLvl w:val="9"/>
              <w:rPr>
                <w:rFonts w:hint="eastAsia"/>
                <w:sz w:val="24"/>
                <w:szCs w:val="24"/>
              </w:rPr>
            </w:pPr>
            <w:r>
              <w:rPr>
                <w:rFonts w:hint="eastAsia"/>
                <w:sz w:val="24"/>
                <w:szCs w:val="24"/>
              </w:rPr>
              <w:t>99.26</w:t>
            </w:r>
          </w:p>
        </w:tc>
      </w:tr>
    </w:tbl>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从表3可以看出，5年监测工作中，EPS&lt;2和2~4的样本占全部阳性样本的构成比最高，分别为42.87%和20.69%，二者总和超过了所有阳性样本数的60%。</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rPr>
        <w:t>当EPS&lt;2时，单张涂片的虫卵平均出现率仅为52.26%；当EPS≥16时，单张涂片虫卵出现率可达99.26%，几乎每张涂片都可检出虫卵。</w:t>
      </w:r>
    </w:p>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jc w:val="center"/>
        <w:textAlignment w:val="auto"/>
        <w:outlineLvl w:val="9"/>
        <w:rPr>
          <w:rFonts w:hint="eastAsia"/>
          <w:b/>
          <w:bCs/>
          <w:sz w:val="24"/>
          <w:szCs w:val="24"/>
        </w:rPr>
      </w:pPr>
      <w:r>
        <w:rPr>
          <w:rFonts w:hint="eastAsia"/>
          <w:b/>
          <w:bCs/>
          <w:sz w:val="24"/>
          <w:szCs w:val="24"/>
        </w:rPr>
        <w:t>讨    论</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sz w:val="24"/>
          <w:szCs w:val="24"/>
          <w:lang w:val="en-US" w:eastAsia="zh-CN"/>
        </w:rPr>
        <w:t xml:space="preserve">    </w:t>
      </w:r>
      <w:r>
        <w:rPr>
          <w:rFonts w:hint="eastAsia" w:ascii="宋体" w:hAnsi="宋体" w:eastAsia="宋体" w:cs="宋体"/>
          <w:sz w:val="24"/>
          <w:szCs w:val="24"/>
        </w:rPr>
        <w:t>本研究对</w:t>
      </w:r>
      <w:r>
        <w:rPr>
          <w:rFonts w:hint="eastAsia" w:ascii="宋体" w:hAnsi="宋体" w:eastAsia="宋体" w:cs="宋体"/>
          <w:sz w:val="24"/>
          <w:szCs w:val="24"/>
          <w:lang w:eastAsia="zh-CN"/>
        </w:rPr>
        <w:t>改良加藤厚涂片法（</w:t>
      </w:r>
      <w:r>
        <w:rPr>
          <w:rFonts w:hint="eastAsia" w:ascii="宋体" w:hAnsi="宋体" w:eastAsia="宋体" w:cs="宋体"/>
          <w:sz w:val="24"/>
          <w:szCs w:val="24"/>
        </w:rPr>
        <w:t>Kato-Katz</w:t>
      </w:r>
      <w:r>
        <w:rPr>
          <w:rFonts w:hint="eastAsia" w:ascii="宋体" w:hAnsi="宋体" w:eastAsia="宋体" w:cs="宋体"/>
          <w:sz w:val="24"/>
          <w:szCs w:val="24"/>
          <w:lang w:eastAsia="zh-CN"/>
        </w:rPr>
        <w:t>）</w:t>
      </w:r>
      <w:r>
        <w:rPr>
          <w:rFonts w:hint="eastAsia" w:ascii="宋体" w:hAnsi="宋体" w:eastAsia="宋体" w:cs="宋体"/>
          <w:sz w:val="24"/>
          <w:szCs w:val="24"/>
        </w:rPr>
        <w:t>1送3检中3次涂片各自的检出样本数进行分析并进行了统计学检验。结果表明</w:t>
      </w:r>
      <w:r>
        <w:rPr>
          <w:rFonts w:hint="eastAsia" w:ascii="宋体" w:hAnsi="宋体" w:cs="宋体"/>
          <w:sz w:val="24"/>
          <w:szCs w:val="24"/>
          <w:lang w:eastAsia="zh-CN"/>
        </w:rPr>
        <w:t>，</w:t>
      </w:r>
      <w:r>
        <w:rPr>
          <w:rFonts w:hint="eastAsia" w:ascii="宋体" w:hAnsi="宋体" w:eastAsia="宋体" w:cs="宋体"/>
          <w:sz w:val="24"/>
          <w:szCs w:val="24"/>
        </w:rPr>
        <w:t>3次涂片的检出效果基本一致，差异无统计学意义。该结果符合随机抽样的一般规律，表明检验员在进行涂片操作以及镜检时3次涂片和3次镜检均为独立进行，3次检验结果为随机产生，检验员在读取前张涂片结果后未对其后的涂片产生主观偏倚。</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研究还发现，目前安徽省土源性线虫病国家级监测点的感染者粪便虫卵密度普遍较低。其中单张涂片中平均虫卵数&lt;2的样本数占阳性样本数的比例超过40%，这种一张涂片中仅有1到2个虫卵的情况对检验员的检验能力提出很大挑战，在实际</w:t>
      </w:r>
      <w:r>
        <w:rPr>
          <w:rFonts w:hint="eastAsia" w:ascii="宋体" w:hAnsi="宋体" w:cs="宋体"/>
          <w:sz w:val="24"/>
          <w:szCs w:val="24"/>
          <w:lang w:eastAsia="zh-CN"/>
        </w:rPr>
        <w:t>镜检</w:t>
      </w:r>
      <w:r>
        <w:rPr>
          <w:rFonts w:hint="eastAsia" w:ascii="宋体" w:hAnsi="宋体" w:eastAsia="宋体" w:cs="宋体"/>
          <w:sz w:val="24"/>
          <w:szCs w:val="24"/>
        </w:rPr>
        <w:t>工作中稍有不慎即会出现漏检。</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本研究对不同EPS下</w:t>
      </w:r>
      <w:r>
        <w:rPr>
          <w:rFonts w:hint="eastAsia" w:ascii="宋体" w:hAnsi="宋体" w:eastAsia="宋体" w:cs="宋体"/>
          <w:sz w:val="24"/>
          <w:szCs w:val="24"/>
          <w:lang w:eastAsia="zh-CN"/>
        </w:rPr>
        <w:t>改良加藤厚涂片法</w:t>
      </w:r>
      <w:r>
        <w:rPr>
          <w:rFonts w:hint="eastAsia" w:ascii="宋体" w:hAnsi="宋体" w:eastAsia="宋体" w:cs="宋体"/>
          <w:sz w:val="24"/>
          <w:szCs w:val="24"/>
        </w:rPr>
        <w:t>单次涂片的虫卵出现率进行了分析，结果表明，随着EPS的增加，单次涂片的检测效果快速提升。当EPS&lt;2时，单次涂片的虫卵出现率仅有52.26%；而当EPS达到8以上，按照每次涂片41.7mg粪样进行计算，即EPG达到96以上时，单次涂片的虫卵出现率超过99%。该结果与袁曼枫</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6</w:t>
      </w:r>
      <w:r>
        <w:rPr>
          <w:rFonts w:hint="eastAsia" w:ascii="宋体" w:hAnsi="宋体" w:eastAsia="宋体" w:cs="宋体"/>
          <w:sz w:val="24"/>
          <w:szCs w:val="24"/>
          <w:vertAlign w:val="superscript"/>
        </w:rPr>
        <w:t>]</w:t>
      </w:r>
      <w:r>
        <w:rPr>
          <w:rFonts w:hint="eastAsia" w:ascii="宋体" w:hAnsi="宋体" w:eastAsia="宋体" w:cs="宋体"/>
          <w:sz w:val="24"/>
          <w:szCs w:val="24"/>
        </w:rPr>
        <w:t>等人的研究结果完全一致，也与罗俊平</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7</w:t>
      </w:r>
      <w:r>
        <w:rPr>
          <w:rFonts w:hint="eastAsia" w:ascii="宋体" w:hAnsi="宋体" w:eastAsia="宋体" w:cs="宋体"/>
          <w:sz w:val="24"/>
          <w:szCs w:val="24"/>
          <w:vertAlign w:val="superscript"/>
        </w:rPr>
        <w:t>]</w:t>
      </w:r>
      <w:r>
        <w:rPr>
          <w:rFonts w:hint="eastAsia" w:ascii="宋体" w:hAnsi="宋体" w:eastAsia="宋体" w:cs="宋体"/>
          <w:sz w:val="24"/>
          <w:szCs w:val="24"/>
        </w:rPr>
        <w:t>等人此前的相关分析基本一致。</w:t>
      </w:r>
    </w:p>
    <w:p>
      <w:pPr>
        <w:widowControl w:val="0"/>
        <w:wordWrap/>
        <w:snapToGrid/>
        <w:spacing w:before="0" w:after="0" w:line="240" w:lineRule="auto"/>
        <w:ind w:left="0" w:leftChars="0" w:right="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本次研究结果在对基层粪检查病工作质量进行考核时具有一定指导意义。按照本次研究结果，对基层粪检</w:t>
      </w:r>
      <w:r>
        <w:rPr>
          <w:rFonts w:hint="eastAsia" w:ascii="宋体" w:hAnsi="宋体" w:eastAsia="宋体" w:cs="宋体"/>
          <w:sz w:val="24"/>
          <w:szCs w:val="24"/>
          <w:lang w:eastAsia="zh-CN"/>
        </w:rPr>
        <w:t>改良加藤厚涂片法</w:t>
      </w:r>
      <w:r>
        <w:rPr>
          <w:rFonts w:hint="eastAsia" w:ascii="宋体" w:hAnsi="宋体" w:eastAsia="宋体" w:cs="宋体"/>
          <w:sz w:val="24"/>
          <w:szCs w:val="24"/>
        </w:rPr>
        <w:t>查病结果进行考核时</w:t>
      </w:r>
      <w:r>
        <w:rPr>
          <w:rFonts w:hint="eastAsia" w:ascii="宋体" w:hAnsi="宋体" w:eastAsia="宋体" w:cs="宋体"/>
          <w:sz w:val="24"/>
          <w:szCs w:val="24"/>
          <w:lang w:eastAsia="zh-CN"/>
        </w:rPr>
        <w:t>，</w:t>
      </w:r>
      <w:r>
        <w:rPr>
          <w:rFonts w:hint="eastAsia" w:ascii="宋体" w:hAnsi="宋体" w:eastAsia="宋体" w:cs="宋体"/>
          <w:sz w:val="24"/>
          <w:szCs w:val="24"/>
        </w:rPr>
        <w:t>可将其3次涂片结果进行统计分析，若3次涂片结果不完全一致，或在相应EPS水平下其单次涂片检出率与本研究有较大出入，则其工作质量可能存在问题。</w:t>
      </w:r>
    </w:p>
    <w:p>
      <w:pPr>
        <w:widowControl w:val="0"/>
        <w:wordWrap/>
        <w:snapToGrid/>
        <w:spacing w:before="0" w:after="0" w:line="240" w:lineRule="auto"/>
        <w:ind w:left="0" w:leftChars="0" w:right="0"/>
        <w:textAlignment w:val="auto"/>
        <w:outlineLvl w:val="9"/>
        <w:rPr>
          <w:rFonts w:hint="eastAsia"/>
          <w:sz w:val="24"/>
          <w:szCs w:val="24"/>
        </w:rPr>
      </w:pPr>
    </w:p>
    <w:p>
      <w:pPr>
        <w:widowControl w:val="0"/>
        <w:wordWrap/>
        <w:snapToGrid/>
        <w:spacing w:before="0" w:after="0" w:line="240" w:lineRule="auto"/>
        <w:ind w:left="0" w:leftChars="0" w:right="0"/>
        <w:jc w:val="center"/>
        <w:textAlignment w:val="auto"/>
        <w:outlineLvl w:val="9"/>
        <w:rPr>
          <w:rFonts w:hint="eastAsia"/>
          <w:sz w:val="24"/>
          <w:szCs w:val="24"/>
        </w:rPr>
      </w:pPr>
    </w:p>
    <w:p>
      <w:pPr>
        <w:widowControl w:val="0"/>
        <w:wordWrap/>
        <w:adjustRightInd/>
        <w:snapToGrid/>
        <w:spacing w:before="0" w:after="0" w:line="360" w:lineRule="auto"/>
        <w:ind w:left="0" w:leftChars="0" w:right="0" w:firstLine="0" w:firstLineChars="0"/>
        <w:jc w:val="center"/>
        <w:textAlignment w:val="auto"/>
        <w:outlineLvl w:val="9"/>
        <w:rPr>
          <w:rFonts w:hint="eastAsia"/>
          <w:b/>
          <w:bCs/>
          <w:sz w:val="21"/>
          <w:szCs w:val="21"/>
        </w:rPr>
      </w:pPr>
      <w:r>
        <w:rPr>
          <w:rFonts w:hint="eastAsia"/>
          <w:b/>
          <w:bCs/>
          <w:sz w:val="21"/>
          <w:szCs w:val="21"/>
        </w:rPr>
        <w:t>参考文献</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sz w:val="21"/>
          <w:szCs w:val="21"/>
          <w:lang w:val="en-US" w:eastAsia="zh-CN"/>
        </w:rPr>
        <w:t xml:space="preserve">    </w:t>
      </w:r>
      <w:r>
        <w:rPr>
          <w:rFonts w:hint="eastAsia" w:ascii="宋体" w:hAnsi="宋体" w:eastAsia="宋体" w:cs="宋体"/>
          <w:b w:val="0"/>
          <w:bCs w:val="0"/>
          <w:sz w:val="21"/>
          <w:szCs w:val="21"/>
        </w:rPr>
        <w:t xml:space="preserve">[1]  </w:t>
      </w:r>
      <w:r>
        <w:rPr>
          <w:rFonts w:hint="eastAsia" w:ascii="宋体" w:hAnsi="宋体" w:eastAsia="宋体" w:cs="宋体"/>
          <w:b w:val="0"/>
          <w:bCs w:val="0"/>
          <w:sz w:val="21"/>
          <w:szCs w:val="21"/>
          <w:lang w:eastAsia="zh-CN"/>
        </w:rPr>
        <w:t>许隆祺，余森海，蒋则孝，等</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lang w:eastAsia="zh-CN"/>
        </w:rPr>
        <w:t>首次全国人体寄生虫分布调查抽样设计和效果评价</w:t>
      </w:r>
      <w:r>
        <w:rPr>
          <w:rFonts w:hint="eastAsia" w:ascii="宋体" w:hAnsi="宋体" w:eastAsia="宋体" w:cs="宋体"/>
          <w:b w:val="0"/>
          <w:bCs w:val="0"/>
          <w:sz w:val="21"/>
          <w:szCs w:val="21"/>
        </w:rPr>
        <w:t>[J].</w:t>
      </w:r>
      <w:r>
        <w:rPr>
          <w:rFonts w:hint="eastAsia" w:ascii="宋体" w:hAnsi="宋体" w:eastAsia="宋体" w:cs="宋体"/>
          <w:b w:val="0"/>
          <w:bCs w:val="0"/>
          <w:sz w:val="21"/>
          <w:szCs w:val="21"/>
          <w:lang w:eastAsia="zh-CN"/>
        </w:rPr>
        <w:t>中国寄生虫病防治杂志，</w:t>
      </w:r>
      <w:r>
        <w:rPr>
          <w:rFonts w:hint="eastAsia" w:ascii="宋体" w:hAnsi="宋体" w:eastAsia="宋体" w:cs="宋体"/>
          <w:b w:val="0"/>
          <w:bCs w:val="0"/>
          <w:sz w:val="21"/>
          <w:szCs w:val="21"/>
          <w:lang w:val="en-US" w:eastAsia="zh-CN"/>
        </w:rPr>
        <w:t>1994，7（4）：249-254</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eastAsia="zh-CN"/>
        </w:rPr>
        <w:t>许隆祺，陈颖丹，孙凤华，等</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全国人体重要寄生虫病现状调查报告[J].</w:t>
      </w:r>
      <w:r>
        <w:rPr>
          <w:rFonts w:hint="eastAsia" w:ascii="宋体" w:hAnsi="宋体" w:eastAsia="宋体" w:cs="宋体"/>
          <w:b w:val="0"/>
          <w:bCs w:val="0"/>
          <w:sz w:val="21"/>
          <w:szCs w:val="21"/>
          <w:lang w:eastAsia="zh-CN"/>
        </w:rPr>
        <w:t>中国寄生虫学与寄生虫病杂志，</w:t>
      </w:r>
      <w:r>
        <w:rPr>
          <w:rFonts w:hint="eastAsia" w:ascii="宋体" w:hAnsi="宋体" w:eastAsia="宋体" w:cs="宋体"/>
          <w:b w:val="0"/>
          <w:bCs w:val="0"/>
          <w:sz w:val="21"/>
          <w:szCs w:val="21"/>
          <w:lang w:val="en-US" w:eastAsia="zh-CN"/>
        </w:rPr>
        <w:t>2005，23（5）增刊：332-340</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]李国华.改良加藤厚涂片法中虫卵显微镜计数的准确性探讨[J]. 山西医药杂志, 2006,</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35 (12): 1143.</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 徐斌, 冯正, 徐兴建, 等. Kato-Katz法2送6检结合粪孵法用于血吸虫病现场筛查[J]. 中国血吸虫病防治杂志, 2011</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23 (3): 321-323.</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刘晓明，陈大林，徐伏牛，等.</w:t>
      </w:r>
      <w:r>
        <w:rPr>
          <w:rFonts w:hint="eastAsia" w:ascii="宋体" w:hAnsi="宋体" w:eastAsia="宋体" w:cs="宋体"/>
          <w:b w:val="0"/>
          <w:bCs w:val="0"/>
          <w:sz w:val="21"/>
          <w:szCs w:val="21"/>
        </w:rPr>
        <w:t xml:space="preserve"> Kato-Katz法</w:t>
      </w:r>
      <w:r>
        <w:rPr>
          <w:rFonts w:hint="eastAsia" w:ascii="宋体" w:hAnsi="宋体" w:eastAsia="宋体" w:cs="宋体"/>
          <w:b w:val="0"/>
          <w:bCs w:val="0"/>
          <w:sz w:val="21"/>
          <w:szCs w:val="21"/>
          <w:lang w:eastAsia="zh-CN"/>
        </w:rPr>
        <w:t>用于诊断常见蠕虫感染的效果评价</w:t>
      </w:r>
      <w:r>
        <w:rPr>
          <w:rFonts w:hint="eastAsia" w:ascii="宋体" w:hAnsi="宋体" w:eastAsia="宋体" w:cs="宋体"/>
          <w:b w:val="0"/>
          <w:bCs w:val="0"/>
          <w:sz w:val="21"/>
          <w:szCs w:val="21"/>
        </w:rPr>
        <w:t xml:space="preserve">[J]. </w:t>
      </w:r>
      <w:r>
        <w:rPr>
          <w:rFonts w:hint="eastAsia" w:ascii="宋体" w:hAnsi="宋体" w:eastAsia="宋体" w:cs="宋体"/>
          <w:b w:val="0"/>
          <w:bCs w:val="0"/>
          <w:sz w:val="21"/>
          <w:szCs w:val="21"/>
          <w:lang w:eastAsia="zh-CN"/>
        </w:rPr>
        <w:t>中国寄生虫病防治杂志，</w:t>
      </w:r>
      <w:r>
        <w:rPr>
          <w:rFonts w:hint="eastAsia" w:ascii="宋体" w:hAnsi="宋体" w:eastAsia="宋体" w:cs="宋体"/>
          <w:b w:val="0"/>
          <w:bCs w:val="0"/>
          <w:sz w:val="21"/>
          <w:szCs w:val="21"/>
        </w:rPr>
        <w:t>1993，6(1)：43</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45</w:t>
      </w:r>
      <w:r>
        <w:rPr>
          <w:rFonts w:hint="eastAsia" w:ascii="宋体" w:hAnsi="宋体" w:eastAsia="宋体" w:cs="宋体"/>
          <w:b w:val="0"/>
          <w:bCs w:val="0"/>
          <w:sz w:val="21"/>
          <w:szCs w:val="21"/>
          <w:lang w:val="en-US" w:eastAsia="zh-CN"/>
        </w:rPr>
        <w:t>.</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]袁曼枫, 王林烨. Kato-Katz法检查血吸虫卵漏检分析[J]. 萍乡高等专科学校学报, 2011</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28 (6): 81-82, 88.</w:t>
      </w:r>
    </w:p>
    <w:p>
      <w:pPr>
        <w:widowControl w:val="0"/>
        <w:wordWrap/>
        <w:adjustRightInd/>
        <w:snapToGrid/>
        <w:spacing w:before="0" w:after="0" w:line="360" w:lineRule="auto"/>
        <w:ind w:left="0" w:leftChars="0" w:right="0" w:firstLine="0" w:firstLine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7</w:t>
      </w:r>
      <w:r>
        <w:rPr>
          <w:rFonts w:hint="eastAsia" w:ascii="宋体" w:hAnsi="宋体" w:eastAsia="宋体" w:cs="宋体"/>
          <w:b w:val="0"/>
          <w:bCs w:val="0"/>
          <w:sz w:val="21"/>
          <w:szCs w:val="21"/>
        </w:rPr>
        <w:t>]罗俊平, 郭见多, 周利, 等. 改良加藤厚涂片法涂片数与肠道蠕虫卵的检出效果分析[J]. 热带病与寄生虫学, 2010</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8 (2): 108-109.</w:t>
      </w:r>
    </w:p>
    <w:p>
      <w:pPr>
        <w:widowControl w:val="0"/>
        <w:wordWrap/>
        <w:autoSpaceDE w:val="0"/>
        <w:autoSpaceDN w:val="0"/>
        <w:adjustRightInd w:val="0"/>
        <w:snapToGrid/>
        <w:spacing w:before="0" w:after="0" w:line="240" w:lineRule="auto"/>
        <w:ind w:left="0" w:leftChars="0" w:right="0" w:firstLine="420" w:firstLineChars="200"/>
        <w:jc w:val="left"/>
        <w:textAlignment w:val="auto"/>
        <w:outlineLvl w:val="9"/>
        <w:rPr>
          <w:rFonts w:hint="eastAsia" w:ascii="Times New Roman" w:hAnsi="Times New Roman" w:cs="Times New Roman"/>
          <w:b/>
          <w:bCs/>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A00002BF" w:usb1="79DF7CFA" w:usb2="00000016" w:usb3="00000000" w:csb0="601E019D" w:csb1="D3F7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swiss"/>
    <w:pitch w:val="default"/>
    <w:sig w:usb0="E10002FF" w:usb1="4000ACFF" w:usb2="00000009" w:usb3="00000000" w:csb0="2000019F" w:csb1="00000000"/>
  </w:font>
  <w:font w:name="楷体_GB2312">
    <w:altName w:val="微软雅黑"/>
    <w:panose1 w:val="02010609030101010101"/>
    <w:charset w:val="86"/>
    <w:family w:val="auto"/>
    <w:pitch w:val="default"/>
    <w:sig w:usb0="00000001" w:usb1="080E0000" w:usb2="00000010" w:usb3="00000000" w:csb0="00040000" w:csb1="00000000"/>
  </w:font>
  <w:font w:name="仿宋_GB2312">
    <w:altName w:val="微软雅黑"/>
    <w:panose1 w:val="02010609030101010101"/>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MS Gothic">
    <w:altName w:val="Times New Roman"/>
    <w:panose1 w:val="020B0609070205080204"/>
    <w:charset w:val="80"/>
    <w:family w:val="auto"/>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99" w:semiHidden="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spacing w:line="360" w:lineRule="auto"/>
      <w:jc w:val="both"/>
    </w:pPr>
    <w:rPr>
      <w:rFonts w:ascii="Calibri" w:hAnsi="Calibri" w:eastAsia="宋体" w:cs="黑体"/>
      <w:kern w:val="2"/>
      <w:sz w:val="24"/>
      <w:szCs w:val="22"/>
      <w:lang w:val="en-US" w:eastAsia="zh-CN" w:bidi="ar-SA"/>
    </w:rPr>
  </w:style>
  <w:style w:type="character" w:default="1" w:styleId="5">
    <w:name w:val="Default Paragraph Font"/>
    <w:semiHidden/>
    <w:unhideWhenUsed/>
    <w:uiPriority w:val="1"/>
  </w:style>
  <w:style w:type="paragraph" w:styleId="2">
    <w:name w:val="Balloon Text"/>
    <w:basedOn w:val="1"/>
    <w:link w:val="8"/>
    <w:semiHidden/>
    <w:unhideWhenUsed/>
    <w:uiPriority w:val="99"/>
    <w:rPr>
      <w:sz w:val="18"/>
      <w:szCs w:val="18"/>
    </w:rPr>
  </w:style>
  <w:style w:type="paragraph" w:styleId="3">
    <w:name w:val="footnote text"/>
    <w:basedOn w:val="1"/>
    <w:link w:val="7"/>
    <w:unhideWhenUsed/>
    <w:uiPriority w:val="99"/>
    <w:pPr>
      <w:snapToGrid w:val="0"/>
      <w:jc w:val="left"/>
    </w:pPr>
    <w:rPr>
      <w:rFonts w:ascii="Calibri" w:hAnsi="Calibri" w:eastAsia="宋体" w:cs="Times New Roman"/>
      <w:kern w:val="0"/>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uiPriority w:val="99"/>
    <w:rPr>
      <w:color w:val="0000FF"/>
      <w:u w:val="single"/>
    </w:rPr>
  </w:style>
  <w:style w:type="character" w:customStyle="1" w:styleId="7">
    <w:name w:val="脚注文本 Char"/>
    <w:basedOn w:val="5"/>
    <w:link w:val="3"/>
    <w:uiPriority w:val="99"/>
    <w:rPr>
      <w:rFonts w:ascii="Calibri" w:hAnsi="Calibri" w:eastAsia="宋体" w:cs="Times New Roman"/>
      <w:kern w:val="0"/>
      <w:sz w:val="18"/>
      <w:szCs w:val="18"/>
    </w:r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804</Words>
  <Characters>4587</Characters>
  <Lines>38</Lines>
  <Paragraphs>10</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2013-11-23T08:23:00Z</dcterms:created>
  <dc:creator>kingw</dc:creator>
  <cp:lastModifiedBy>zy</cp:lastModifiedBy>
  <dcterms:modified xsi:type="dcterms:W3CDTF">2014-04-29T07:49:12Z</dcterms:modified>
  <dc:title>Kato-Katz法检查土源性线虫卵1送3检中单次涂片</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